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C99E" w14:textId="2BEF46EE" w:rsidR="00E90BC9" w:rsidRPr="00A806FC" w:rsidRDefault="00A758F5" w:rsidP="00D90A59">
      <w:pPr>
        <w:tabs>
          <w:tab w:val="left" w:pos="9792"/>
        </w:tabs>
        <w:spacing w:after="0" w:line="240" w:lineRule="auto"/>
        <w:ind w:right="-46"/>
        <w:jc w:val="center"/>
        <w:rPr>
          <w:rFonts w:asciiTheme="majorBidi" w:eastAsia="Calibri" w:hAnsiTheme="majorBidi" w:cstheme="majorBidi"/>
          <w:b/>
          <w:bCs/>
          <w:color w:val="000000"/>
          <w:sz w:val="24"/>
          <w:szCs w:val="24"/>
          <w:shd w:val="clear" w:color="auto" w:fill="FFFFFF"/>
          <w:lang w:val="ms-MY"/>
        </w:rPr>
      </w:pPr>
      <w:r w:rsidRPr="00746C66">
        <w:rPr>
          <w:rFonts w:asciiTheme="majorBidi" w:hAnsiTheme="majorBidi" w:cstheme="majorBidi"/>
          <w:b/>
          <w:bCs/>
          <w:color w:val="FF0000"/>
          <w:szCs w:val="32"/>
          <w:lang w:val="en"/>
        </w:rPr>
        <w:t>[</w:t>
      </w:r>
      <w:r w:rsidRPr="00A806FC">
        <w:rPr>
          <w:rFonts w:asciiTheme="majorBidi" w:hAnsiTheme="majorBidi" w:cstheme="majorBidi"/>
          <w:b/>
          <w:bCs/>
          <w:color w:val="FF0000"/>
          <w:sz w:val="24"/>
          <w:szCs w:val="36"/>
          <w:lang w:val="en"/>
        </w:rPr>
        <w:t>Font: Times New Roman, capital, bold 1</w:t>
      </w:r>
      <w:r w:rsidR="00C9760A" w:rsidRPr="00A806FC">
        <w:rPr>
          <w:rFonts w:asciiTheme="majorBidi" w:hAnsiTheme="majorBidi" w:cstheme="majorBidi"/>
          <w:b/>
          <w:bCs/>
          <w:color w:val="FF0000"/>
          <w:sz w:val="24"/>
          <w:szCs w:val="36"/>
          <w:lang w:val="en"/>
        </w:rPr>
        <w:t>2</w:t>
      </w:r>
      <w:r w:rsidRPr="00A806FC">
        <w:rPr>
          <w:rFonts w:asciiTheme="majorBidi" w:hAnsiTheme="majorBidi" w:cstheme="majorBidi"/>
          <w:b/>
          <w:bCs/>
          <w:color w:val="FF0000"/>
          <w:sz w:val="24"/>
          <w:szCs w:val="36"/>
          <w:lang w:val="en"/>
        </w:rPr>
        <w:t xml:space="preserve">] </w:t>
      </w:r>
      <w:r w:rsidR="00C9760A" w:rsidRPr="00A806FC">
        <w:rPr>
          <w:rFonts w:asciiTheme="majorBidi" w:eastAsia="Calibri" w:hAnsiTheme="majorBidi" w:cstheme="majorBidi"/>
          <w:b/>
          <w:bCs/>
          <w:color w:val="000000"/>
          <w:sz w:val="24"/>
          <w:szCs w:val="24"/>
          <w:shd w:val="clear" w:color="auto" w:fill="FFFFFF"/>
          <w:lang w:val="ms-MY"/>
        </w:rPr>
        <w:t>TAJUK</w:t>
      </w:r>
    </w:p>
    <w:p w14:paraId="65FC6E90" w14:textId="77777777" w:rsidR="00E90BC9" w:rsidRPr="00A806FC" w:rsidRDefault="00E90BC9" w:rsidP="00E90BC9">
      <w:pPr>
        <w:tabs>
          <w:tab w:val="left" w:pos="9792"/>
        </w:tabs>
        <w:spacing w:after="0" w:line="240" w:lineRule="auto"/>
        <w:ind w:right="-46"/>
        <w:jc w:val="both"/>
        <w:rPr>
          <w:rFonts w:asciiTheme="majorBidi" w:eastAsia="Calibri" w:hAnsiTheme="majorBidi" w:cstheme="majorBidi"/>
          <w:color w:val="000000"/>
          <w:sz w:val="24"/>
          <w:szCs w:val="24"/>
          <w:shd w:val="clear" w:color="auto" w:fill="FFFFFF"/>
          <w:lang w:val="ms-MY"/>
        </w:rPr>
      </w:pPr>
    </w:p>
    <w:p w14:paraId="202A850D" w14:textId="098A3C07" w:rsidR="009D49CA" w:rsidRPr="00A806FC" w:rsidRDefault="00A758F5" w:rsidP="009D49CA">
      <w:pPr>
        <w:tabs>
          <w:tab w:val="left" w:pos="9792"/>
        </w:tabs>
        <w:spacing w:after="0" w:line="240" w:lineRule="auto"/>
        <w:ind w:right="-46"/>
        <w:jc w:val="center"/>
        <w:rPr>
          <w:rFonts w:asciiTheme="majorBidi" w:eastAsia="Calibri" w:hAnsiTheme="majorBidi" w:cstheme="majorBidi"/>
          <w:color w:val="000000"/>
          <w:sz w:val="24"/>
          <w:szCs w:val="24"/>
          <w:shd w:val="clear" w:color="auto" w:fill="FFFFFF"/>
          <w:lang w:val="ms-MY"/>
        </w:rPr>
      </w:pPr>
      <w:r w:rsidRPr="00A806FC">
        <w:rPr>
          <w:rFonts w:asciiTheme="majorBidi" w:hAnsiTheme="majorBidi" w:cstheme="majorBidi"/>
          <w:color w:val="FF0000"/>
          <w:sz w:val="24"/>
          <w:szCs w:val="36"/>
          <w:lang w:val="en"/>
        </w:rPr>
        <w:t>[Font: Times New Roman, capital, 1</w:t>
      </w:r>
      <w:r w:rsidR="00C9760A" w:rsidRPr="00A806FC">
        <w:rPr>
          <w:rFonts w:asciiTheme="majorBidi" w:hAnsiTheme="majorBidi" w:cstheme="majorBidi"/>
          <w:color w:val="FF0000"/>
          <w:sz w:val="24"/>
          <w:szCs w:val="36"/>
          <w:lang w:val="en"/>
        </w:rPr>
        <w:t>2</w:t>
      </w:r>
      <w:r w:rsidRPr="00A806FC">
        <w:rPr>
          <w:rFonts w:asciiTheme="majorBidi" w:hAnsiTheme="majorBidi" w:cstheme="majorBidi"/>
          <w:color w:val="FF0000"/>
          <w:sz w:val="24"/>
          <w:szCs w:val="36"/>
          <w:lang w:val="en"/>
        </w:rPr>
        <w:t xml:space="preserve">] </w:t>
      </w:r>
      <w:r w:rsidR="00C9760A" w:rsidRPr="00A806FC">
        <w:rPr>
          <w:rFonts w:asciiTheme="majorBidi" w:eastAsia="Calibri" w:hAnsiTheme="majorBidi" w:cstheme="majorBidi"/>
          <w:color w:val="000000"/>
          <w:sz w:val="24"/>
          <w:szCs w:val="24"/>
          <w:shd w:val="clear" w:color="auto" w:fill="FFFFFF"/>
          <w:lang w:val="ms-MY"/>
        </w:rPr>
        <w:t>T</w:t>
      </w:r>
      <w:r w:rsidR="00A857D9" w:rsidRPr="00A806FC">
        <w:rPr>
          <w:rFonts w:asciiTheme="majorBidi" w:eastAsia="Calibri" w:hAnsiTheme="majorBidi" w:cstheme="majorBidi"/>
          <w:color w:val="000000"/>
          <w:sz w:val="24"/>
          <w:szCs w:val="24"/>
          <w:shd w:val="clear" w:color="auto" w:fill="FFFFFF"/>
          <w:lang w:val="ms-MY"/>
        </w:rPr>
        <w:t>RANSLATION OF T</w:t>
      </w:r>
      <w:r w:rsidR="00C9760A" w:rsidRPr="00A806FC">
        <w:rPr>
          <w:rFonts w:asciiTheme="majorBidi" w:eastAsia="Calibri" w:hAnsiTheme="majorBidi" w:cstheme="majorBidi"/>
          <w:color w:val="000000"/>
          <w:sz w:val="24"/>
          <w:szCs w:val="24"/>
          <w:shd w:val="clear" w:color="auto" w:fill="FFFFFF"/>
          <w:lang w:val="ms-MY"/>
        </w:rPr>
        <w:t>ITLE</w:t>
      </w:r>
    </w:p>
    <w:p w14:paraId="1A3EFC12" w14:textId="77777777" w:rsidR="009D49CA" w:rsidRPr="00FB186B" w:rsidRDefault="009D49CA" w:rsidP="009D49CA">
      <w:pPr>
        <w:tabs>
          <w:tab w:val="left" w:pos="9792"/>
        </w:tabs>
        <w:spacing w:after="0" w:line="240" w:lineRule="auto"/>
        <w:ind w:right="-46"/>
        <w:jc w:val="center"/>
        <w:rPr>
          <w:rFonts w:asciiTheme="majorBidi" w:eastAsia="Calibri" w:hAnsiTheme="majorBidi" w:cstheme="majorBidi"/>
          <w:color w:val="000000"/>
          <w:shd w:val="clear" w:color="auto" w:fill="FFFFFF"/>
          <w:lang w:val="ms-MY"/>
        </w:rPr>
      </w:pPr>
    </w:p>
    <w:p w14:paraId="7D5908CA" w14:textId="6D19E07E" w:rsidR="00E90BC9" w:rsidRPr="00A806FC" w:rsidRDefault="00A758F5" w:rsidP="00E90BC9">
      <w:pPr>
        <w:spacing w:after="0" w:line="240" w:lineRule="auto"/>
        <w:jc w:val="center"/>
        <w:rPr>
          <w:rFonts w:asciiTheme="majorBidi" w:eastAsia="Calibri" w:hAnsiTheme="majorBidi" w:cstheme="majorBidi"/>
          <w:sz w:val="20"/>
          <w:szCs w:val="20"/>
          <w:lang w:val="ms-MY"/>
        </w:rPr>
      </w:pPr>
      <w:r w:rsidRPr="00A806FC">
        <w:rPr>
          <w:rFonts w:asciiTheme="majorBidi" w:hAnsiTheme="majorBidi" w:cstheme="majorBidi"/>
          <w:color w:val="FF0000"/>
          <w:sz w:val="20"/>
          <w:szCs w:val="20"/>
          <w:lang w:val="en"/>
        </w:rPr>
        <w:t xml:space="preserve">[Font: Times New Roman, </w:t>
      </w:r>
      <w:r w:rsidR="00C9760A" w:rsidRPr="00A806FC">
        <w:rPr>
          <w:rFonts w:asciiTheme="majorBidi" w:hAnsiTheme="majorBidi" w:cstheme="majorBidi"/>
          <w:color w:val="FF0000"/>
          <w:sz w:val="20"/>
          <w:szCs w:val="20"/>
          <w:lang w:val="en"/>
        </w:rPr>
        <w:t>10</w:t>
      </w:r>
      <w:r w:rsidRPr="00A806FC">
        <w:rPr>
          <w:rFonts w:asciiTheme="majorBidi" w:hAnsiTheme="majorBidi" w:cstheme="majorBidi"/>
          <w:color w:val="FF0000"/>
          <w:sz w:val="20"/>
          <w:szCs w:val="20"/>
          <w:lang w:val="en"/>
        </w:rPr>
        <w:t>]</w:t>
      </w:r>
      <w:r w:rsidRPr="00A806FC">
        <w:rPr>
          <w:rFonts w:asciiTheme="majorBidi" w:hAnsiTheme="majorBidi" w:cstheme="majorBidi"/>
          <w:color w:val="FF0000"/>
          <w:sz w:val="24"/>
          <w:szCs w:val="36"/>
          <w:lang w:val="en"/>
        </w:rPr>
        <w:t xml:space="preserve"> </w:t>
      </w:r>
      <w:r w:rsidR="00E90BC9" w:rsidRPr="00A806FC">
        <w:rPr>
          <w:rFonts w:asciiTheme="majorBidi" w:eastAsia="Calibri" w:hAnsiTheme="majorBidi" w:cstheme="majorBidi"/>
          <w:sz w:val="20"/>
          <w:szCs w:val="20"/>
          <w:vertAlign w:val="superscript"/>
          <w:lang w:val="ms-MY"/>
        </w:rPr>
        <w:t>i*</w:t>
      </w:r>
      <w:r w:rsidR="00E90BC9" w:rsidRPr="00A806FC">
        <w:rPr>
          <w:rFonts w:asciiTheme="majorBidi" w:eastAsia="Calibri" w:hAnsiTheme="majorBidi" w:cstheme="majorBidi"/>
          <w:sz w:val="20"/>
          <w:szCs w:val="20"/>
          <w:lang w:val="ms-MY"/>
        </w:rPr>
        <w:t xml:space="preserve">Wan Abdul Fattah Wan Ismail, </w:t>
      </w:r>
      <w:r w:rsidR="00E90BC9" w:rsidRPr="00A806FC">
        <w:rPr>
          <w:rFonts w:asciiTheme="majorBidi" w:eastAsia="Calibri" w:hAnsiTheme="majorBidi" w:cstheme="majorBidi"/>
          <w:sz w:val="20"/>
          <w:szCs w:val="20"/>
          <w:vertAlign w:val="superscript"/>
          <w:lang w:val="ms-MY"/>
        </w:rPr>
        <w:t>i</w:t>
      </w:r>
      <w:r w:rsidR="00E90BC9" w:rsidRPr="00A806FC">
        <w:rPr>
          <w:rFonts w:asciiTheme="majorBidi" w:eastAsia="Calibri" w:hAnsiTheme="majorBidi" w:cstheme="majorBidi"/>
          <w:sz w:val="20"/>
          <w:szCs w:val="20"/>
          <w:lang w:val="ms-MY"/>
        </w:rPr>
        <w:t xml:space="preserve">Syahirah Abdul Shukor, </w:t>
      </w:r>
      <w:r w:rsidR="00E90BC9" w:rsidRPr="00A806FC">
        <w:rPr>
          <w:rFonts w:asciiTheme="majorBidi" w:eastAsia="Calibri" w:hAnsiTheme="majorBidi" w:cstheme="majorBidi"/>
          <w:sz w:val="20"/>
          <w:szCs w:val="20"/>
          <w:vertAlign w:val="superscript"/>
          <w:lang w:val="ms-MY"/>
        </w:rPr>
        <w:t>i</w:t>
      </w:r>
      <w:r w:rsidR="00E90BC9" w:rsidRPr="00A806FC">
        <w:rPr>
          <w:rFonts w:asciiTheme="majorBidi" w:eastAsia="Calibri" w:hAnsiTheme="majorBidi" w:cstheme="majorBidi"/>
          <w:sz w:val="20"/>
          <w:szCs w:val="20"/>
          <w:lang w:val="ms-MY"/>
        </w:rPr>
        <w:t>Hasnizam Hashim</w:t>
      </w:r>
    </w:p>
    <w:p w14:paraId="5BB32DCF" w14:textId="77777777" w:rsidR="00E90BC9" w:rsidRPr="00A806FC" w:rsidRDefault="00E90BC9" w:rsidP="00E90BC9">
      <w:pPr>
        <w:spacing w:after="0" w:line="240" w:lineRule="auto"/>
        <w:jc w:val="center"/>
        <w:rPr>
          <w:rFonts w:asciiTheme="majorBidi" w:eastAsia="Calibri" w:hAnsiTheme="majorBidi" w:cstheme="majorBidi"/>
          <w:sz w:val="20"/>
          <w:szCs w:val="20"/>
          <w:lang w:val="ms-MY"/>
        </w:rPr>
      </w:pPr>
    </w:p>
    <w:p w14:paraId="03F144EE" w14:textId="7EEB3284" w:rsidR="00E90BC9" w:rsidRPr="00A806FC" w:rsidRDefault="00A758F5" w:rsidP="00E90BC9">
      <w:pPr>
        <w:pStyle w:val="FootnoteText"/>
        <w:jc w:val="center"/>
        <w:rPr>
          <w:rFonts w:asciiTheme="majorBidi" w:hAnsiTheme="majorBidi" w:cstheme="majorBidi"/>
          <w:lang w:val="ms-MY"/>
        </w:rPr>
      </w:pPr>
      <w:r w:rsidRPr="00A806FC">
        <w:rPr>
          <w:rFonts w:asciiTheme="majorBidi" w:hAnsiTheme="majorBidi" w:cstheme="majorBidi"/>
          <w:color w:val="FF0000"/>
          <w:lang w:val="en"/>
        </w:rPr>
        <w:t xml:space="preserve">[Font: Times New Roman, </w:t>
      </w:r>
      <w:r w:rsidR="00C9760A" w:rsidRPr="00A806FC">
        <w:rPr>
          <w:rFonts w:asciiTheme="majorBidi" w:hAnsiTheme="majorBidi" w:cstheme="majorBidi"/>
          <w:color w:val="FF0000"/>
          <w:lang w:val="en"/>
        </w:rPr>
        <w:t>10</w:t>
      </w:r>
      <w:r w:rsidRPr="00A806FC">
        <w:rPr>
          <w:rFonts w:asciiTheme="majorBidi" w:hAnsiTheme="majorBidi" w:cstheme="majorBidi"/>
          <w:color w:val="FF0000"/>
          <w:lang w:val="en"/>
        </w:rPr>
        <w:t>]</w:t>
      </w:r>
      <w:r w:rsidRPr="00A806FC">
        <w:rPr>
          <w:rFonts w:asciiTheme="majorBidi" w:hAnsiTheme="majorBidi" w:cstheme="majorBidi"/>
          <w:color w:val="FF0000"/>
          <w:sz w:val="22"/>
          <w:szCs w:val="36"/>
          <w:lang w:val="en"/>
        </w:rPr>
        <w:t xml:space="preserve"> </w:t>
      </w:r>
      <w:r w:rsidR="00E90BC9" w:rsidRPr="00A806FC">
        <w:rPr>
          <w:rFonts w:asciiTheme="majorBidi" w:hAnsiTheme="majorBidi" w:cstheme="majorBidi"/>
          <w:lang w:val="ms-MY"/>
        </w:rPr>
        <w:t>Fakulti Syariah dan Undang-Undang, Universiti Sains Islam Malaysia, Nilai.</w:t>
      </w:r>
    </w:p>
    <w:p w14:paraId="59EE130F" w14:textId="77777777" w:rsidR="00E90BC9" w:rsidRPr="00A806FC" w:rsidRDefault="00E90BC9" w:rsidP="00E90BC9">
      <w:pPr>
        <w:pStyle w:val="FootnoteText"/>
        <w:jc w:val="center"/>
        <w:rPr>
          <w:rFonts w:asciiTheme="majorBidi" w:hAnsiTheme="majorBidi" w:cstheme="majorBidi"/>
          <w:lang w:val="ms-MY"/>
        </w:rPr>
      </w:pPr>
    </w:p>
    <w:p w14:paraId="1D5E13EC" w14:textId="7D4E599E" w:rsidR="00E90BC9" w:rsidRPr="00A806FC" w:rsidRDefault="00A758F5" w:rsidP="00E90BC9">
      <w:pPr>
        <w:pStyle w:val="FootnoteText"/>
        <w:jc w:val="center"/>
        <w:rPr>
          <w:rFonts w:asciiTheme="majorBidi" w:hAnsiTheme="majorBidi" w:cstheme="majorBidi"/>
          <w:lang w:val="ms-MY"/>
        </w:rPr>
      </w:pPr>
      <w:r w:rsidRPr="00A806FC">
        <w:rPr>
          <w:rFonts w:asciiTheme="majorBidi" w:hAnsiTheme="majorBidi" w:cstheme="majorBidi"/>
          <w:color w:val="FF0000"/>
          <w:lang w:val="en"/>
        </w:rPr>
        <w:t xml:space="preserve">[Font: Times New Roman, </w:t>
      </w:r>
      <w:r w:rsidR="00C9760A" w:rsidRPr="00A806FC">
        <w:rPr>
          <w:rFonts w:asciiTheme="majorBidi" w:hAnsiTheme="majorBidi" w:cstheme="majorBidi"/>
          <w:color w:val="FF0000"/>
          <w:lang w:val="en"/>
        </w:rPr>
        <w:t>10</w:t>
      </w:r>
      <w:r w:rsidRPr="00A806FC">
        <w:rPr>
          <w:rFonts w:asciiTheme="majorBidi" w:hAnsiTheme="majorBidi" w:cstheme="majorBidi"/>
          <w:color w:val="FF0000"/>
          <w:lang w:val="en"/>
        </w:rPr>
        <w:t>]</w:t>
      </w:r>
      <w:r w:rsidRPr="00A806FC">
        <w:rPr>
          <w:rFonts w:asciiTheme="majorBidi" w:hAnsiTheme="majorBidi" w:cstheme="majorBidi"/>
          <w:color w:val="FF0000"/>
          <w:sz w:val="22"/>
          <w:szCs w:val="36"/>
          <w:lang w:val="en"/>
        </w:rPr>
        <w:t xml:space="preserve"> </w:t>
      </w:r>
      <w:r w:rsidR="00E90BC9" w:rsidRPr="00A806FC">
        <w:rPr>
          <w:rFonts w:asciiTheme="majorBidi" w:hAnsiTheme="majorBidi" w:cstheme="majorBidi"/>
          <w:vertAlign w:val="superscript"/>
          <w:lang w:val="ms-MY"/>
        </w:rPr>
        <w:t>*</w:t>
      </w:r>
      <w:r w:rsidR="00E90BC9" w:rsidRPr="00A806FC">
        <w:rPr>
          <w:rFonts w:asciiTheme="majorBidi" w:hAnsiTheme="majorBidi" w:cstheme="majorBidi"/>
          <w:lang w:val="ms-MY"/>
        </w:rPr>
        <w:t xml:space="preserve">(Corresponding Author): </w:t>
      </w:r>
      <w:r w:rsidR="00E90BC9" w:rsidRPr="00A806FC">
        <w:rPr>
          <w:rStyle w:val="contentline-39"/>
        </w:rPr>
        <w:t>wanfattah@usim.edu.my</w:t>
      </w:r>
    </w:p>
    <w:p w14:paraId="3D2F06AC" w14:textId="77777777" w:rsidR="00E90BC9" w:rsidRPr="00FB186B" w:rsidRDefault="00E90BC9" w:rsidP="00E90BC9">
      <w:pPr>
        <w:spacing w:after="0" w:line="240" w:lineRule="auto"/>
        <w:jc w:val="center"/>
        <w:rPr>
          <w:rFonts w:asciiTheme="majorBidi" w:hAnsiTheme="majorBidi" w:cstheme="majorBidi"/>
          <w:b/>
          <w:bCs/>
          <w:lang w:val="ms-MY"/>
        </w:rPr>
      </w:pPr>
    </w:p>
    <w:p w14:paraId="501FC854" w14:textId="77777777" w:rsidR="00A758F5" w:rsidRDefault="00A758F5" w:rsidP="00E90BC9">
      <w:pPr>
        <w:spacing w:after="0" w:line="240" w:lineRule="auto"/>
        <w:jc w:val="center"/>
        <w:rPr>
          <w:rFonts w:asciiTheme="majorBidi" w:hAnsiTheme="majorBidi" w:cstheme="majorBidi"/>
          <w:b/>
          <w:bCs/>
          <w:color w:val="FF0000"/>
          <w:lang w:val="en"/>
        </w:rPr>
      </w:pPr>
    </w:p>
    <w:p w14:paraId="6E55222B" w14:textId="0C63086B" w:rsidR="00E90BC9" w:rsidRPr="00A806FC" w:rsidRDefault="00A758F5" w:rsidP="00E90BC9">
      <w:pPr>
        <w:spacing w:after="0" w:line="240" w:lineRule="auto"/>
        <w:jc w:val="center"/>
        <w:rPr>
          <w:rFonts w:asciiTheme="majorBidi" w:hAnsiTheme="majorBidi" w:cstheme="majorBidi"/>
          <w:b/>
          <w:bCs/>
          <w:sz w:val="24"/>
          <w:szCs w:val="24"/>
          <w:lang w:val="ms-MY"/>
        </w:rPr>
      </w:pPr>
      <w:r w:rsidRPr="00A806FC">
        <w:rPr>
          <w:rFonts w:asciiTheme="majorBidi" w:hAnsiTheme="majorBidi" w:cstheme="majorBidi"/>
          <w:b/>
          <w:bCs/>
          <w:color w:val="FF0000"/>
          <w:sz w:val="24"/>
          <w:szCs w:val="24"/>
          <w:lang w:val="en"/>
        </w:rPr>
        <w:t>[Font: Times New Roman, capital, bold, 1</w:t>
      </w:r>
      <w:r w:rsidR="00C9760A" w:rsidRPr="00A806FC">
        <w:rPr>
          <w:rFonts w:asciiTheme="majorBidi" w:hAnsiTheme="majorBidi" w:cstheme="majorBidi"/>
          <w:b/>
          <w:bCs/>
          <w:color w:val="FF0000"/>
          <w:sz w:val="24"/>
          <w:szCs w:val="24"/>
          <w:lang w:val="en"/>
        </w:rPr>
        <w:t>2</w:t>
      </w:r>
      <w:r w:rsidRPr="00A806FC">
        <w:rPr>
          <w:rFonts w:asciiTheme="majorBidi" w:hAnsiTheme="majorBidi" w:cstheme="majorBidi"/>
          <w:b/>
          <w:bCs/>
          <w:color w:val="FF0000"/>
          <w:sz w:val="24"/>
          <w:szCs w:val="24"/>
          <w:lang w:val="en"/>
        </w:rPr>
        <w:t>]</w:t>
      </w:r>
      <w:r w:rsidRPr="00A806FC">
        <w:rPr>
          <w:rFonts w:asciiTheme="majorBidi" w:hAnsiTheme="majorBidi" w:cstheme="majorBidi"/>
          <w:color w:val="FF0000"/>
          <w:sz w:val="24"/>
          <w:szCs w:val="24"/>
          <w:lang w:val="en"/>
        </w:rPr>
        <w:t xml:space="preserve"> </w:t>
      </w:r>
      <w:r w:rsidR="00E90BC9" w:rsidRPr="00A806FC">
        <w:rPr>
          <w:rFonts w:asciiTheme="majorBidi" w:hAnsiTheme="majorBidi" w:cstheme="majorBidi"/>
          <w:b/>
          <w:bCs/>
          <w:sz w:val="24"/>
          <w:szCs w:val="24"/>
          <w:lang w:val="ms-MY"/>
        </w:rPr>
        <w:t>ABSTRAK</w:t>
      </w:r>
    </w:p>
    <w:p w14:paraId="530CBBCA" w14:textId="77777777" w:rsidR="00E90BC9" w:rsidRPr="00A806FC" w:rsidRDefault="00E90BC9" w:rsidP="00E90BC9">
      <w:pPr>
        <w:spacing w:after="0" w:line="240" w:lineRule="auto"/>
        <w:jc w:val="both"/>
        <w:rPr>
          <w:rFonts w:asciiTheme="majorBidi" w:hAnsiTheme="majorBidi" w:cstheme="majorBidi"/>
          <w:sz w:val="24"/>
          <w:szCs w:val="24"/>
          <w:lang w:val="ms-MY"/>
        </w:rPr>
      </w:pPr>
    </w:p>
    <w:p w14:paraId="2A8D0B14" w14:textId="06276700" w:rsidR="00E90BC9" w:rsidRPr="00A806FC" w:rsidRDefault="00A758F5" w:rsidP="00E90BC9">
      <w:pPr>
        <w:spacing w:after="0" w:line="240" w:lineRule="auto"/>
        <w:jc w:val="both"/>
        <w:rPr>
          <w:rFonts w:asciiTheme="majorBidi" w:eastAsia="Calibri" w:hAnsiTheme="majorBidi" w:cstheme="majorBidi"/>
          <w:sz w:val="24"/>
          <w:szCs w:val="24"/>
          <w:lang w:val="ms-MY"/>
        </w:rPr>
      </w:pPr>
      <w:r w:rsidRPr="00A806FC">
        <w:rPr>
          <w:rFonts w:asciiTheme="majorBidi" w:hAnsiTheme="majorBidi" w:cstheme="majorBidi"/>
          <w:color w:val="FF0000"/>
          <w:sz w:val="24"/>
          <w:szCs w:val="24"/>
          <w:lang w:val="sv-SE"/>
        </w:rPr>
        <w:t>[Font: Times New Roman, 1</w:t>
      </w:r>
      <w:r w:rsidR="00C9760A" w:rsidRPr="00A806FC">
        <w:rPr>
          <w:rFonts w:asciiTheme="majorBidi" w:hAnsiTheme="majorBidi" w:cstheme="majorBidi"/>
          <w:color w:val="FF0000"/>
          <w:sz w:val="24"/>
          <w:szCs w:val="24"/>
          <w:lang w:val="sv-SE"/>
        </w:rPr>
        <w:t>2</w:t>
      </w:r>
      <w:r w:rsidRPr="00A806FC">
        <w:rPr>
          <w:rFonts w:asciiTheme="majorBidi" w:hAnsiTheme="majorBidi" w:cstheme="majorBidi"/>
          <w:color w:val="FF0000"/>
          <w:sz w:val="24"/>
          <w:szCs w:val="24"/>
          <w:lang w:val="sv-SE"/>
        </w:rPr>
        <w:t xml:space="preserve">] </w:t>
      </w:r>
      <w:r w:rsidR="00E90BC9" w:rsidRPr="00A806FC">
        <w:rPr>
          <w:rFonts w:asciiTheme="majorBidi" w:eastAsia="Calibri" w:hAnsiTheme="majorBidi" w:cstheme="majorBidi"/>
          <w:sz w:val="24"/>
          <w:szCs w:val="24"/>
          <w:lang w:val="ms-MY" w:bidi="ar-JO"/>
        </w:rPr>
        <w:t xml:space="preserve">Televisyen/ Kamera Litar Tertutup (Closed-Circuit Television) atau singkatannya CCTV diklasifikasikan sebagai dokumen elektronik. Sebarang rakaman elektronik, berdasarkan tafsiran dalam Seksyen 3, Akta Keterangan Mahkamah Syariah (Wilayah-Wilayah Persekutuan) 1997 adalah termasuk dalam kategori dokumen dan diguna pakai sebagai salah satu kaedah pembuktian termasuk dalam kes-kes jenayah. Pada </w:t>
      </w:r>
      <w:r w:rsidR="00E90BC9" w:rsidRPr="00A806FC">
        <w:rPr>
          <w:rFonts w:asciiTheme="majorBidi" w:eastAsia="Calibri" w:hAnsiTheme="majorBidi" w:cstheme="majorBidi"/>
          <w:sz w:val="24"/>
          <w:szCs w:val="24"/>
          <w:lang w:val="ms-MY"/>
        </w:rPr>
        <w:t xml:space="preserve">12 Julai 2017, satu pindaan </w:t>
      </w:r>
      <w:r w:rsidR="00E90BC9" w:rsidRPr="00A806FC">
        <w:rPr>
          <w:rFonts w:asciiTheme="majorBidi" w:eastAsia="Calibri" w:hAnsiTheme="majorBidi" w:cstheme="majorBidi"/>
          <w:sz w:val="24"/>
          <w:szCs w:val="24"/>
          <w:lang w:val="ms-MY" w:bidi="ar-JO"/>
        </w:rPr>
        <w:t xml:space="preserve">telah diluluskan oleh Dewan Undangan Negeri Kelantan terhadap Enakmen Tatacara Jenayah Syariah 2002 (Pindaan 2017) yang memperuntukkan </w:t>
      </w:r>
      <w:r w:rsidR="00E90BC9" w:rsidRPr="00A806FC">
        <w:rPr>
          <w:rFonts w:asciiTheme="majorBidi" w:eastAsia="Calibri" w:hAnsiTheme="majorBidi" w:cstheme="majorBidi"/>
          <w:sz w:val="24"/>
          <w:szCs w:val="24"/>
          <w:lang w:val="ms-MY"/>
        </w:rPr>
        <w:t xml:space="preserve">pegawai Penguat kuasa Agama Islam Negeri Kelantan untuk menggunakan gari terhadap suspek dan membenarkan video digunakan sebagai bahan bukti dalam perbicaraan bagi kes-kes jenayah termasuk zina, qazaf dan seumpamanya. Kertas kerja ini </w:t>
      </w:r>
      <w:r w:rsidR="00E90BC9" w:rsidRPr="00A806FC">
        <w:rPr>
          <w:rFonts w:asciiTheme="majorBidi" w:eastAsia="Calibri" w:hAnsiTheme="majorBidi" w:cstheme="majorBidi"/>
          <w:sz w:val="24"/>
          <w:szCs w:val="24"/>
          <w:lang w:val="ms-MY" w:bidi="ar-JO"/>
        </w:rPr>
        <w:t xml:space="preserve">akan membincangkan </w:t>
      </w:r>
      <w:r w:rsidRPr="00A806FC">
        <w:rPr>
          <w:rFonts w:asciiTheme="majorBidi" w:eastAsia="Calibri" w:hAnsiTheme="majorBidi" w:cstheme="majorBidi"/>
          <w:sz w:val="24"/>
          <w:szCs w:val="24"/>
          <w:lang w:val="ms-MY" w:bidi="ar-JO"/>
        </w:rPr>
        <w:t>...</w:t>
      </w:r>
    </w:p>
    <w:p w14:paraId="7FEEB7CF" w14:textId="77777777" w:rsidR="00E90BC9" w:rsidRPr="00A806FC" w:rsidRDefault="00E90BC9" w:rsidP="00E90BC9">
      <w:pPr>
        <w:spacing w:after="0" w:line="240" w:lineRule="auto"/>
        <w:jc w:val="both"/>
        <w:rPr>
          <w:rFonts w:asciiTheme="majorBidi" w:eastAsia="Calibri" w:hAnsiTheme="majorBidi" w:cstheme="majorBidi"/>
          <w:sz w:val="24"/>
          <w:szCs w:val="24"/>
          <w:lang w:val="ms-MY" w:bidi="ar-JO"/>
        </w:rPr>
      </w:pPr>
    </w:p>
    <w:p w14:paraId="040E6D39" w14:textId="16F8581B" w:rsidR="00E90BC9" w:rsidRPr="00A806FC" w:rsidRDefault="00A758F5" w:rsidP="00E90BC9">
      <w:pPr>
        <w:spacing w:after="0" w:line="240" w:lineRule="auto"/>
        <w:rPr>
          <w:rFonts w:asciiTheme="majorBidi" w:hAnsiTheme="majorBidi" w:cstheme="majorBidi"/>
          <w:i/>
          <w:iCs/>
          <w:sz w:val="24"/>
          <w:szCs w:val="24"/>
          <w:lang w:val="ms-MY"/>
        </w:rPr>
      </w:pPr>
      <w:r w:rsidRPr="00A806FC">
        <w:rPr>
          <w:rFonts w:asciiTheme="majorBidi" w:hAnsiTheme="majorBidi" w:cstheme="majorBidi"/>
          <w:i/>
          <w:iCs/>
          <w:color w:val="FF0000"/>
          <w:sz w:val="24"/>
          <w:szCs w:val="24"/>
          <w:lang w:val="sv-SE"/>
        </w:rPr>
        <w:t>[Font: Times New Roman, Italic, 1</w:t>
      </w:r>
      <w:r w:rsidR="00C9760A" w:rsidRPr="00A806FC">
        <w:rPr>
          <w:rFonts w:asciiTheme="majorBidi" w:hAnsiTheme="majorBidi" w:cstheme="majorBidi"/>
          <w:i/>
          <w:iCs/>
          <w:color w:val="FF0000"/>
          <w:sz w:val="24"/>
          <w:szCs w:val="24"/>
          <w:lang w:val="sv-SE"/>
        </w:rPr>
        <w:t>2</w:t>
      </w:r>
      <w:r w:rsidRPr="00A806FC">
        <w:rPr>
          <w:rFonts w:asciiTheme="majorBidi" w:hAnsiTheme="majorBidi" w:cstheme="majorBidi"/>
          <w:i/>
          <w:iCs/>
          <w:color w:val="FF0000"/>
          <w:sz w:val="24"/>
          <w:szCs w:val="24"/>
          <w:lang w:val="sv-SE"/>
        </w:rPr>
        <w:t>]</w:t>
      </w:r>
      <w:r w:rsidRPr="00A806FC">
        <w:rPr>
          <w:rFonts w:asciiTheme="majorBidi" w:hAnsiTheme="majorBidi" w:cstheme="majorBidi"/>
          <w:color w:val="FF0000"/>
          <w:sz w:val="24"/>
          <w:szCs w:val="24"/>
          <w:lang w:val="sv-SE"/>
        </w:rPr>
        <w:t xml:space="preserve"> </w:t>
      </w:r>
      <w:r w:rsidR="00E90BC9" w:rsidRPr="00A806FC">
        <w:rPr>
          <w:rFonts w:asciiTheme="majorBidi" w:hAnsiTheme="majorBidi" w:cstheme="majorBidi"/>
          <w:b/>
          <w:bCs/>
          <w:i/>
          <w:iCs/>
          <w:sz w:val="24"/>
          <w:szCs w:val="24"/>
          <w:lang w:val="ms-MY"/>
        </w:rPr>
        <w:t>Kata Kunci:</w:t>
      </w:r>
      <w:r w:rsidR="00E90BC9" w:rsidRPr="00A806FC">
        <w:rPr>
          <w:rFonts w:asciiTheme="majorBidi" w:hAnsiTheme="majorBidi" w:cstheme="majorBidi"/>
          <w:i/>
          <w:iCs/>
          <w:sz w:val="24"/>
          <w:szCs w:val="24"/>
          <w:lang w:val="ms-MY"/>
        </w:rPr>
        <w:t xml:space="preserve"> CCTV, pembuktian kes-kes jenayah, undang-undang Keterangan Islam</w:t>
      </w:r>
    </w:p>
    <w:p w14:paraId="3880E246" w14:textId="77777777" w:rsidR="00E90BC9" w:rsidRPr="00A806FC" w:rsidRDefault="00E90BC9" w:rsidP="00E90BC9">
      <w:pPr>
        <w:spacing w:after="0" w:line="240" w:lineRule="auto"/>
        <w:rPr>
          <w:rFonts w:asciiTheme="majorBidi" w:hAnsiTheme="majorBidi" w:cstheme="majorBidi"/>
          <w:i/>
          <w:iCs/>
          <w:sz w:val="24"/>
          <w:szCs w:val="24"/>
          <w:lang w:val="ms-MY"/>
        </w:rPr>
      </w:pPr>
    </w:p>
    <w:p w14:paraId="4375649B" w14:textId="78FD4059" w:rsidR="00E90BC9" w:rsidRPr="00A806FC" w:rsidRDefault="00A758F5" w:rsidP="00E90BC9">
      <w:pPr>
        <w:spacing w:after="0" w:line="240" w:lineRule="auto"/>
        <w:jc w:val="center"/>
        <w:rPr>
          <w:rFonts w:asciiTheme="majorBidi" w:hAnsiTheme="majorBidi" w:cstheme="majorBidi"/>
          <w:b/>
          <w:bCs/>
          <w:sz w:val="24"/>
          <w:szCs w:val="24"/>
          <w:lang w:val="ms-MY"/>
        </w:rPr>
      </w:pPr>
      <w:r w:rsidRPr="00A806FC">
        <w:rPr>
          <w:rFonts w:asciiTheme="majorBidi" w:hAnsiTheme="majorBidi" w:cstheme="majorBidi"/>
          <w:b/>
          <w:bCs/>
          <w:color w:val="FF0000"/>
          <w:sz w:val="24"/>
          <w:szCs w:val="24"/>
          <w:lang w:val="en"/>
        </w:rPr>
        <w:t>[Font: Times New Roman, capital, bold, 1</w:t>
      </w:r>
      <w:r w:rsidR="00C9760A" w:rsidRPr="00A806FC">
        <w:rPr>
          <w:rFonts w:asciiTheme="majorBidi" w:hAnsiTheme="majorBidi" w:cstheme="majorBidi"/>
          <w:b/>
          <w:bCs/>
          <w:color w:val="FF0000"/>
          <w:sz w:val="24"/>
          <w:szCs w:val="24"/>
          <w:lang w:val="en"/>
        </w:rPr>
        <w:t>2</w:t>
      </w:r>
      <w:r w:rsidRPr="00A806FC">
        <w:rPr>
          <w:rFonts w:asciiTheme="majorBidi" w:hAnsiTheme="majorBidi" w:cstheme="majorBidi"/>
          <w:b/>
          <w:bCs/>
          <w:color w:val="FF0000"/>
          <w:sz w:val="24"/>
          <w:szCs w:val="24"/>
          <w:lang w:val="en"/>
        </w:rPr>
        <w:t>]</w:t>
      </w:r>
      <w:r w:rsidRPr="00A806FC">
        <w:rPr>
          <w:rFonts w:asciiTheme="majorBidi" w:hAnsiTheme="majorBidi" w:cstheme="majorBidi"/>
          <w:color w:val="FF0000"/>
          <w:sz w:val="24"/>
          <w:szCs w:val="24"/>
          <w:lang w:val="en"/>
        </w:rPr>
        <w:t xml:space="preserve"> </w:t>
      </w:r>
      <w:r w:rsidR="00E90BC9" w:rsidRPr="00A806FC">
        <w:rPr>
          <w:rFonts w:asciiTheme="majorBidi" w:hAnsiTheme="majorBidi" w:cstheme="majorBidi"/>
          <w:b/>
          <w:bCs/>
          <w:sz w:val="24"/>
          <w:szCs w:val="24"/>
          <w:lang w:val="ms-MY"/>
        </w:rPr>
        <w:t>ABSTRACT</w:t>
      </w:r>
    </w:p>
    <w:p w14:paraId="09A16B99" w14:textId="77777777" w:rsidR="00E90BC9" w:rsidRPr="00A806FC" w:rsidRDefault="00E90BC9" w:rsidP="00E90BC9">
      <w:pPr>
        <w:spacing w:after="0" w:line="240" w:lineRule="auto"/>
        <w:jc w:val="center"/>
        <w:rPr>
          <w:rFonts w:asciiTheme="majorBidi" w:hAnsiTheme="majorBidi" w:cstheme="majorBidi"/>
          <w:b/>
          <w:bCs/>
          <w:sz w:val="24"/>
          <w:szCs w:val="24"/>
          <w:lang w:val="ms-MY"/>
        </w:rPr>
      </w:pPr>
    </w:p>
    <w:p w14:paraId="10A98588" w14:textId="77777777" w:rsidR="00E90BC9" w:rsidRPr="00A806FC" w:rsidRDefault="00E90BC9" w:rsidP="00E90BC9">
      <w:pPr>
        <w:spacing w:after="0" w:line="240" w:lineRule="auto"/>
        <w:jc w:val="both"/>
        <w:rPr>
          <w:rFonts w:asciiTheme="majorBidi" w:hAnsiTheme="majorBidi" w:cstheme="majorBidi"/>
          <w:i/>
          <w:iCs/>
          <w:sz w:val="24"/>
          <w:szCs w:val="24"/>
          <w:lang w:val="ms-MY"/>
        </w:rPr>
      </w:pPr>
      <w:r w:rsidRPr="00A806FC">
        <w:rPr>
          <w:rFonts w:asciiTheme="majorBidi" w:hAnsiTheme="majorBidi" w:cstheme="majorBidi"/>
          <w:i/>
          <w:iCs/>
          <w:sz w:val="24"/>
          <w:szCs w:val="24"/>
          <w:lang w:val="ms-MY"/>
        </w:rPr>
        <w:t xml:space="preserve">Closed-circuit Television or its short name CCTV is classified as electronic document. Any recorded electronic, based on Section 3 of the Evidence Act of Syariah Court ( Federal Territories) 1997 will be included as document categories and applicable as one the methods in evidence including criminal cases. On 12 July 2017, an amendment to the Syariah Criminal Procedure Enactment (Amendment 2017) which provides the enforcement officers from the Religious Department of Kelantan to use hand-cuff towards suspect and to allow video as an evidence in cases related to criminal cases inlducing zina, qazaf and others. This paper will discuss on the proof via CCTV in cases of criminal in hudud, qisas and takzir based on the Law of Evidence Law. The </w:t>
      </w:r>
      <w:r w:rsidR="00A758F5" w:rsidRPr="00A806FC">
        <w:rPr>
          <w:rFonts w:asciiTheme="majorBidi" w:hAnsiTheme="majorBidi" w:cstheme="majorBidi"/>
          <w:i/>
          <w:iCs/>
          <w:sz w:val="24"/>
          <w:szCs w:val="24"/>
          <w:lang w:val="ms-MY"/>
        </w:rPr>
        <w:t>study</w:t>
      </w:r>
      <w:r w:rsidRPr="00A806FC">
        <w:rPr>
          <w:rFonts w:asciiTheme="majorBidi" w:hAnsiTheme="majorBidi" w:cstheme="majorBidi"/>
          <w:i/>
          <w:iCs/>
          <w:sz w:val="24"/>
          <w:szCs w:val="24"/>
          <w:lang w:val="ms-MY"/>
        </w:rPr>
        <w:t xml:space="preserve"> will discuss </w:t>
      </w:r>
      <w:r w:rsidR="00A758F5" w:rsidRPr="00A806FC">
        <w:rPr>
          <w:rFonts w:asciiTheme="majorBidi" w:hAnsiTheme="majorBidi" w:cstheme="majorBidi"/>
          <w:i/>
          <w:iCs/>
          <w:sz w:val="24"/>
          <w:szCs w:val="24"/>
          <w:lang w:val="ms-MY"/>
        </w:rPr>
        <w:t>...</w:t>
      </w:r>
    </w:p>
    <w:p w14:paraId="527467AE" w14:textId="77777777" w:rsidR="00E90BC9" w:rsidRPr="00A806FC" w:rsidRDefault="00E90BC9" w:rsidP="00E90BC9">
      <w:pPr>
        <w:spacing w:after="0" w:line="240" w:lineRule="auto"/>
        <w:jc w:val="both"/>
        <w:rPr>
          <w:rFonts w:asciiTheme="majorBidi" w:hAnsiTheme="majorBidi" w:cstheme="majorBidi"/>
          <w:sz w:val="24"/>
          <w:szCs w:val="24"/>
          <w:lang w:val="ms-MY"/>
        </w:rPr>
      </w:pPr>
    </w:p>
    <w:p w14:paraId="56BA5DAB" w14:textId="715837BE" w:rsidR="00E90BC9" w:rsidRPr="00A806FC" w:rsidRDefault="00A758F5" w:rsidP="00E90BC9">
      <w:pPr>
        <w:spacing w:after="0" w:line="240" w:lineRule="auto"/>
        <w:jc w:val="both"/>
        <w:rPr>
          <w:rFonts w:asciiTheme="majorBidi" w:hAnsiTheme="majorBidi" w:cstheme="majorBidi"/>
          <w:i/>
          <w:iCs/>
          <w:sz w:val="24"/>
          <w:szCs w:val="24"/>
          <w:lang w:val="ms-MY"/>
        </w:rPr>
      </w:pPr>
      <w:r w:rsidRPr="00A806FC">
        <w:rPr>
          <w:rFonts w:asciiTheme="majorBidi" w:hAnsiTheme="majorBidi" w:cstheme="majorBidi"/>
          <w:i/>
          <w:iCs/>
          <w:color w:val="FF0000"/>
          <w:sz w:val="24"/>
          <w:szCs w:val="24"/>
          <w:lang w:val="en"/>
        </w:rPr>
        <w:t>[Font: Times New Roman, Italic, 1</w:t>
      </w:r>
      <w:r w:rsidR="00A857D9" w:rsidRPr="00A806FC">
        <w:rPr>
          <w:rFonts w:asciiTheme="majorBidi" w:hAnsiTheme="majorBidi" w:cstheme="majorBidi"/>
          <w:i/>
          <w:iCs/>
          <w:color w:val="FF0000"/>
          <w:sz w:val="24"/>
          <w:szCs w:val="24"/>
          <w:lang w:val="en"/>
        </w:rPr>
        <w:t>2</w:t>
      </w:r>
      <w:r w:rsidRPr="00A806FC">
        <w:rPr>
          <w:rFonts w:asciiTheme="majorBidi" w:hAnsiTheme="majorBidi" w:cstheme="majorBidi"/>
          <w:i/>
          <w:iCs/>
          <w:color w:val="FF0000"/>
          <w:sz w:val="24"/>
          <w:szCs w:val="24"/>
          <w:lang w:val="en"/>
        </w:rPr>
        <w:t>]</w:t>
      </w:r>
      <w:r w:rsidRPr="00A806FC">
        <w:rPr>
          <w:rFonts w:asciiTheme="majorBidi" w:hAnsiTheme="majorBidi" w:cstheme="majorBidi"/>
          <w:color w:val="FF0000"/>
          <w:sz w:val="24"/>
          <w:szCs w:val="24"/>
          <w:lang w:val="en"/>
        </w:rPr>
        <w:t xml:space="preserve"> </w:t>
      </w:r>
      <w:r w:rsidR="00E90BC9" w:rsidRPr="00A806FC">
        <w:rPr>
          <w:rFonts w:asciiTheme="majorBidi" w:hAnsiTheme="majorBidi" w:cstheme="majorBidi"/>
          <w:b/>
          <w:bCs/>
          <w:i/>
          <w:iCs/>
          <w:sz w:val="24"/>
          <w:szCs w:val="24"/>
          <w:lang w:val="ms-MY"/>
        </w:rPr>
        <w:t>Keyword (s</w:t>
      </w:r>
      <w:r w:rsidR="00E90BC9" w:rsidRPr="00A806FC">
        <w:rPr>
          <w:rFonts w:asciiTheme="majorBidi" w:hAnsiTheme="majorBidi" w:cstheme="majorBidi"/>
          <w:b/>
          <w:bCs/>
          <w:sz w:val="24"/>
          <w:szCs w:val="24"/>
          <w:lang w:val="ms-MY"/>
        </w:rPr>
        <w:t>):</w:t>
      </w:r>
      <w:r w:rsidR="00E90BC9" w:rsidRPr="00A806FC">
        <w:rPr>
          <w:rFonts w:asciiTheme="majorBidi" w:hAnsiTheme="majorBidi" w:cstheme="majorBidi"/>
          <w:sz w:val="24"/>
          <w:szCs w:val="24"/>
          <w:lang w:val="ms-MY"/>
        </w:rPr>
        <w:t xml:space="preserve"> </w:t>
      </w:r>
      <w:r w:rsidR="00E90BC9" w:rsidRPr="00A806FC">
        <w:rPr>
          <w:rFonts w:asciiTheme="majorBidi" w:hAnsiTheme="majorBidi" w:cstheme="majorBidi"/>
          <w:i/>
          <w:iCs/>
          <w:sz w:val="24"/>
          <w:szCs w:val="24"/>
          <w:lang w:val="ms-MY"/>
        </w:rPr>
        <w:t>CCTV, proof in criminal cases and Islamic Law of Evidence</w:t>
      </w:r>
    </w:p>
    <w:p w14:paraId="46A852B2" w14:textId="77777777" w:rsidR="00E90BC9" w:rsidRPr="00A806FC" w:rsidRDefault="00E90BC9" w:rsidP="00E90BC9">
      <w:pPr>
        <w:rPr>
          <w:rFonts w:asciiTheme="majorBidi" w:hAnsiTheme="majorBidi" w:cstheme="majorBidi"/>
          <w:sz w:val="24"/>
          <w:szCs w:val="24"/>
          <w:lang w:val="ms-MY"/>
        </w:rPr>
      </w:pPr>
    </w:p>
    <w:p w14:paraId="42794DE1" w14:textId="44F87510" w:rsidR="00E90BC9" w:rsidRPr="00A806FC" w:rsidRDefault="00A758F5" w:rsidP="00E90BC9">
      <w:pPr>
        <w:pStyle w:val="Heading1"/>
        <w:spacing w:before="0"/>
        <w:rPr>
          <w:rFonts w:asciiTheme="majorBidi" w:hAnsiTheme="majorBidi" w:cstheme="majorBidi"/>
          <w:sz w:val="24"/>
          <w:szCs w:val="24"/>
          <w:lang w:val="ms-MY"/>
        </w:rPr>
      </w:pPr>
      <w:r w:rsidRPr="00A806FC">
        <w:rPr>
          <w:rFonts w:asciiTheme="majorBidi" w:hAnsiTheme="majorBidi" w:cstheme="majorBidi"/>
          <w:color w:val="FF0000"/>
          <w:sz w:val="24"/>
          <w:szCs w:val="24"/>
          <w:lang w:val="en"/>
        </w:rPr>
        <w:t>[Font: Times New Roman, bold, 1</w:t>
      </w:r>
      <w:r w:rsidR="00A857D9" w:rsidRPr="00A806FC">
        <w:rPr>
          <w:rFonts w:asciiTheme="majorBidi" w:hAnsiTheme="majorBidi" w:cstheme="majorBidi"/>
          <w:color w:val="FF0000"/>
          <w:sz w:val="24"/>
          <w:szCs w:val="24"/>
          <w:lang w:val="en"/>
        </w:rPr>
        <w:t>2</w:t>
      </w:r>
      <w:r w:rsidRPr="00A806FC">
        <w:rPr>
          <w:rFonts w:asciiTheme="majorBidi" w:hAnsiTheme="majorBidi" w:cstheme="majorBidi"/>
          <w:color w:val="FF0000"/>
          <w:sz w:val="24"/>
          <w:szCs w:val="24"/>
          <w:lang w:val="en"/>
        </w:rPr>
        <w:t xml:space="preserve">] </w:t>
      </w:r>
      <w:r w:rsidR="00E90BC9" w:rsidRPr="00A806FC">
        <w:rPr>
          <w:rFonts w:asciiTheme="majorBidi" w:hAnsiTheme="majorBidi" w:cstheme="majorBidi"/>
          <w:sz w:val="24"/>
          <w:szCs w:val="24"/>
          <w:lang w:val="ms-MY"/>
        </w:rPr>
        <w:t>Pendahuluan</w:t>
      </w:r>
    </w:p>
    <w:p w14:paraId="42AD9B10" w14:textId="77777777" w:rsidR="00E90BC9" w:rsidRPr="00A806FC" w:rsidRDefault="00E90BC9" w:rsidP="00E90BC9">
      <w:pPr>
        <w:spacing w:after="0" w:line="240" w:lineRule="auto"/>
        <w:jc w:val="both"/>
        <w:rPr>
          <w:rFonts w:asciiTheme="majorBidi" w:eastAsia="Calibri" w:hAnsiTheme="majorBidi" w:cstheme="majorBidi"/>
          <w:sz w:val="24"/>
          <w:szCs w:val="24"/>
          <w:lang w:val="ms-MY" w:bidi="ar-JO"/>
        </w:rPr>
      </w:pPr>
      <w:r w:rsidRPr="00A806FC">
        <w:rPr>
          <w:rFonts w:asciiTheme="majorBidi" w:eastAsia="Calibri" w:hAnsiTheme="majorBidi" w:cstheme="majorBidi"/>
          <w:sz w:val="24"/>
          <w:szCs w:val="24"/>
          <w:lang w:val="ms-MY" w:bidi="ar-JO"/>
        </w:rPr>
        <w:t xml:space="preserve">CCTV atau Televisyen/ Kamera Litar Tertutup secara umumnya amat sukar untuk diterima oleh sesetengah pihak sebagai salah satu kaedah pembuktian dalam kes-kes jenayah. Namun demikian, realiti pada hari ini memperlihatkan bahawa pembuktian melalui dokumen lebih dipercayai berbanding kaedah-kaedah yang lain termasuklah </w:t>
      </w:r>
      <w:r w:rsidRPr="00A806FC">
        <w:rPr>
          <w:rFonts w:asciiTheme="majorBidi" w:eastAsia="Calibri" w:hAnsiTheme="majorBidi" w:cstheme="majorBidi"/>
          <w:i/>
          <w:iCs/>
          <w:sz w:val="24"/>
          <w:szCs w:val="24"/>
          <w:lang w:val="ms-MY" w:bidi="ar-JO"/>
        </w:rPr>
        <w:t>ikrar</w:t>
      </w:r>
      <w:r w:rsidRPr="00A806FC">
        <w:rPr>
          <w:rFonts w:asciiTheme="majorBidi" w:eastAsia="Calibri" w:hAnsiTheme="majorBidi" w:cstheme="majorBidi"/>
          <w:sz w:val="24"/>
          <w:szCs w:val="24"/>
          <w:lang w:val="ms-MY" w:bidi="ar-JO"/>
        </w:rPr>
        <w:t xml:space="preserve"> dan </w:t>
      </w:r>
      <w:r w:rsidRPr="00A806FC">
        <w:rPr>
          <w:rFonts w:asciiTheme="majorBidi" w:eastAsia="Calibri" w:hAnsiTheme="majorBidi" w:cstheme="majorBidi"/>
          <w:i/>
          <w:iCs/>
          <w:sz w:val="24"/>
          <w:szCs w:val="24"/>
          <w:lang w:val="ms-MY" w:bidi="ar-JO"/>
        </w:rPr>
        <w:t>syahadah</w:t>
      </w:r>
      <w:r w:rsidRPr="00A806FC">
        <w:rPr>
          <w:rFonts w:asciiTheme="majorBidi" w:eastAsia="Calibri" w:hAnsiTheme="majorBidi" w:cstheme="majorBidi"/>
          <w:sz w:val="24"/>
          <w:szCs w:val="24"/>
          <w:lang w:val="ms-MY" w:bidi="ar-JO"/>
        </w:rPr>
        <w:t xml:space="preserve">. Ini kerana </w:t>
      </w:r>
      <w:r w:rsidRPr="00A806FC">
        <w:rPr>
          <w:rFonts w:asciiTheme="majorBidi" w:eastAsia="Calibri" w:hAnsiTheme="majorBidi" w:cstheme="majorBidi"/>
          <w:i/>
          <w:iCs/>
          <w:sz w:val="24"/>
          <w:szCs w:val="24"/>
          <w:lang w:val="ms-MY" w:bidi="ar-JO"/>
        </w:rPr>
        <w:t>ikrar</w:t>
      </w:r>
      <w:r w:rsidRPr="00A806FC">
        <w:rPr>
          <w:rFonts w:asciiTheme="majorBidi" w:eastAsia="Calibri" w:hAnsiTheme="majorBidi" w:cstheme="majorBidi"/>
          <w:sz w:val="24"/>
          <w:szCs w:val="24"/>
          <w:lang w:val="ms-MY" w:bidi="ar-JO"/>
        </w:rPr>
        <w:t xml:space="preserve"> dan </w:t>
      </w:r>
      <w:r w:rsidRPr="00A806FC">
        <w:rPr>
          <w:rFonts w:asciiTheme="majorBidi" w:eastAsia="Calibri" w:hAnsiTheme="majorBidi" w:cstheme="majorBidi"/>
          <w:i/>
          <w:iCs/>
          <w:sz w:val="24"/>
          <w:szCs w:val="24"/>
          <w:lang w:val="ms-MY" w:bidi="ar-JO"/>
        </w:rPr>
        <w:t>syahadah</w:t>
      </w:r>
      <w:r w:rsidRPr="00A806FC">
        <w:rPr>
          <w:rFonts w:asciiTheme="majorBidi" w:eastAsia="Calibri" w:hAnsiTheme="majorBidi" w:cstheme="majorBidi"/>
          <w:sz w:val="24"/>
          <w:szCs w:val="24"/>
          <w:lang w:val="ms-MY" w:bidi="ar-JO"/>
        </w:rPr>
        <w:t xml:space="preserve"> berkemungkinan akan berubah atas sebab-sebab tertentu seperti lupa, kematian dan sebagainya. Pun begitu, kaedah pembuktian melalui dokumen termasuklah </w:t>
      </w:r>
      <w:r w:rsidRPr="00A806FC">
        <w:rPr>
          <w:rFonts w:asciiTheme="majorBidi" w:eastAsia="Calibri" w:hAnsiTheme="majorBidi" w:cstheme="majorBidi"/>
          <w:sz w:val="24"/>
          <w:szCs w:val="24"/>
          <w:lang w:val="ms-MY" w:bidi="ar-JO"/>
        </w:rPr>
        <w:lastRenderedPageBreak/>
        <w:t xml:space="preserve">CCTV akan berkekalan walaupun telah berlaku dalam tempoh yang lama. Di Eropah, khususnya Britain, penggunaan CCTV sudah diterima dan dijadikan sebagai bukti yang kukuh dalam pendakwaan. Di dalam kes </w:t>
      </w:r>
      <w:r w:rsidRPr="00A806FC">
        <w:rPr>
          <w:rFonts w:asciiTheme="majorBidi" w:eastAsia="Calibri" w:hAnsiTheme="majorBidi" w:cstheme="majorBidi"/>
          <w:b/>
          <w:bCs/>
          <w:i/>
          <w:iCs/>
          <w:sz w:val="24"/>
          <w:szCs w:val="24"/>
          <w:lang w:val="ms-MY" w:bidi="ar-JO"/>
        </w:rPr>
        <w:t>R v Doherty</w:t>
      </w:r>
      <w:r w:rsidRPr="00A806FC">
        <w:rPr>
          <w:rFonts w:asciiTheme="majorBidi" w:eastAsia="Calibri" w:hAnsiTheme="majorBidi" w:cstheme="majorBidi"/>
          <w:sz w:val="24"/>
          <w:szCs w:val="24"/>
          <w:lang w:val="ms-MY" w:bidi="ar-JO"/>
        </w:rPr>
        <w:t xml:space="preserve"> [2016] Criminal Division, Mac 03, 2016, [2016] EWCA Crim 246, CCTV sering digunakan untuk tujuan pengawasan di kawasan-kawasan yang memerlukan pengawasan seperti bank, pejabat, lapangan terbang, pangkalan tentera, pasar raya-pasar raya dan sebagainya.</w:t>
      </w:r>
    </w:p>
    <w:p w14:paraId="192284FD" w14:textId="77777777" w:rsidR="00E90BC9" w:rsidRPr="00A806FC" w:rsidRDefault="00E90BC9" w:rsidP="00E90BC9">
      <w:pPr>
        <w:spacing w:after="0" w:line="240" w:lineRule="auto"/>
        <w:ind w:firstLine="720"/>
        <w:jc w:val="both"/>
        <w:rPr>
          <w:rFonts w:asciiTheme="majorBidi" w:eastAsia="Calibri" w:hAnsiTheme="majorBidi" w:cstheme="majorBidi"/>
          <w:sz w:val="24"/>
          <w:szCs w:val="24"/>
          <w:lang w:val="ms-MY" w:bidi="ar-JO"/>
        </w:rPr>
      </w:pPr>
      <w:r w:rsidRPr="00A806FC">
        <w:rPr>
          <w:rFonts w:asciiTheme="majorBidi" w:eastAsia="Calibri" w:hAnsiTheme="majorBidi" w:cstheme="majorBidi"/>
          <w:sz w:val="24"/>
          <w:szCs w:val="24"/>
          <w:lang w:val="ms-MY" w:bidi="ar-JO"/>
        </w:rPr>
        <w:t>Kemajuan teknologi hari ini telah membuktikan bahawa CCTV telah mencapai kelasnya yang tersendiri. Pelbagai penyelidikan yang telah dibuat oleh orang Islam bagi membuktikan tahap kebolehpercayaan yang tinggi. Umpamanya, Universiti Teknologi Malaysia (UTM) telah berjaya menghasilkan kamera litar tertutup (CCTV) pertama di dunia yang mampu merakam imej tiga dimensi (3D) dan berupaya mengecam imej penjenayah dengan tepat dalam tempoh 15 minit. Ketua Kumpulan Penyelidik Fotogrametri dan Pengimbasan Laser, Fakulti Kejuruteraan dan Sains Geoinformasi, Dr. Zulkepli Majid menjelaskan bahawa sistem pengawasan keselamatan itu berjaya dibangunkan dengan menggunakan gabungan teknologi terkini dalam bidang pengimejan moden dan bidang geomatik.(</w:t>
      </w:r>
      <w:r w:rsidRPr="00A806FC">
        <w:rPr>
          <w:rFonts w:asciiTheme="majorBidi" w:eastAsia="Calibri" w:hAnsiTheme="majorBidi" w:cstheme="majorBidi"/>
          <w:i/>
          <w:iCs/>
          <w:sz w:val="24"/>
          <w:szCs w:val="24"/>
          <w:lang w:val="ms-MY" w:bidi="ar-JO"/>
        </w:rPr>
        <w:t>Utusan Malaysia</w:t>
      </w:r>
      <w:r w:rsidRPr="00A806FC">
        <w:rPr>
          <w:rFonts w:asciiTheme="majorBidi" w:eastAsia="Calibri" w:hAnsiTheme="majorBidi" w:cstheme="majorBidi"/>
          <w:sz w:val="24"/>
          <w:szCs w:val="24"/>
          <w:lang w:val="ms-MY" w:bidi="ar-JO"/>
        </w:rPr>
        <w:t xml:space="preserve">, 2010) </w:t>
      </w:r>
    </w:p>
    <w:p w14:paraId="5C549F05" w14:textId="77777777" w:rsidR="004329F3" w:rsidRPr="00A806FC" w:rsidRDefault="00E90BC9" w:rsidP="00A758F5">
      <w:pPr>
        <w:spacing w:after="0" w:line="240" w:lineRule="auto"/>
        <w:ind w:firstLine="720"/>
        <w:jc w:val="both"/>
        <w:rPr>
          <w:rFonts w:asciiTheme="majorBidi" w:eastAsia="Calibri" w:hAnsiTheme="majorBidi" w:cstheme="majorBidi"/>
          <w:sz w:val="24"/>
          <w:szCs w:val="24"/>
          <w:lang w:val="ms-MY" w:bidi="ar-JO"/>
        </w:rPr>
      </w:pPr>
      <w:r w:rsidRPr="00A806FC">
        <w:rPr>
          <w:rFonts w:asciiTheme="majorBidi" w:eastAsia="Calibri" w:hAnsiTheme="majorBidi" w:cstheme="majorBidi"/>
          <w:sz w:val="24"/>
          <w:szCs w:val="24"/>
          <w:lang w:val="ms-MY" w:bidi="ar-JO"/>
        </w:rPr>
        <w:t>Di Mahkamah Syariah, kaedah pembuktian melalui CCTV dan Dokumen Elektronik ini masih agak baru berbanding dengan kaedah-kaedah pembuktian lain. Penerimaannya sebagai kaedah pembuktian masih lagi diperdebatkan dan diragui oleh sesetengah pihak. Namun, jika diteliti konsep keterangan menurut Ibnu Taimiyah dan Ibnu Qayyim yang menyatakan bahawa ‘Setiap apa sahaja yang dapat menjelaskan dan menzahirkan kebenaran dinamakan sebagai keterangan’ (</w:t>
      </w:r>
      <w:r w:rsidRPr="00A806FC">
        <w:rPr>
          <w:rFonts w:asciiTheme="majorBidi" w:hAnsiTheme="majorBidi" w:cstheme="majorBidi"/>
          <w:sz w:val="24"/>
          <w:szCs w:val="24"/>
          <w:lang w:val="ms-MY"/>
        </w:rPr>
        <w:t xml:space="preserve">Ibnu Taimiyyah, Ahmad, 2001). </w:t>
      </w:r>
      <w:r w:rsidR="00A758F5" w:rsidRPr="00A806FC">
        <w:rPr>
          <w:rFonts w:asciiTheme="majorBidi" w:hAnsiTheme="majorBidi" w:cstheme="majorBidi"/>
          <w:sz w:val="24"/>
          <w:szCs w:val="24"/>
          <w:lang w:val="ms-MY"/>
        </w:rPr>
        <w:t>...</w:t>
      </w:r>
    </w:p>
    <w:p w14:paraId="35657D1A" w14:textId="77777777" w:rsidR="00E90BC9" w:rsidRPr="00A806FC" w:rsidRDefault="00E90BC9" w:rsidP="00E90BC9">
      <w:pPr>
        <w:spacing w:after="0" w:line="240" w:lineRule="auto"/>
        <w:ind w:left="360" w:hanging="360"/>
        <w:rPr>
          <w:rFonts w:asciiTheme="majorBidi" w:eastAsia="Calibri" w:hAnsiTheme="majorBidi" w:cstheme="majorBidi"/>
          <w:b/>
          <w:bCs/>
          <w:sz w:val="24"/>
          <w:szCs w:val="24"/>
          <w:lang w:val="ms-MY"/>
        </w:rPr>
      </w:pPr>
    </w:p>
    <w:p w14:paraId="117D12B5" w14:textId="77777777" w:rsidR="00E90BC9" w:rsidRPr="00A806FC" w:rsidRDefault="00A758F5" w:rsidP="00E90BC9">
      <w:pPr>
        <w:spacing w:after="0" w:line="240" w:lineRule="auto"/>
        <w:ind w:left="360" w:hanging="360"/>
        <w:rPr>
          <w:rFonts w:asciiTheme="majorBidi" w:eastAsia="Calibri" w:hAnsiTheme="majorBidi" w:cstheme="majorBidi"/>
          <w:b/>
          <w:bCs/>
          <w:sz w:val="24"/>
          <w:szCs w:val="24"/>
          <w:lang w:val="ms-MY"/>
        </w:rPr>
      </w:pPr>
      <w:r w:rsidRPr="00A806FC">
        <w:rPr>
          <w:rFonts w:asciiTheme="majorBidi" w:eastAsia="Calibri" w:hAnsiTheme="majorBidi" w:cstheme="majorBidi"/>
          <w:b/>
          <w:bCs/>
          <w:sz w:val="24"/>
          <w:szCs w:val="24"/>
          <w:lang w:val="ms-MY"/>
        </w:rPr>
        <w:t>Rumusan Dan Cadangan</w:t>
      </w:r>
    </w:p>
    <w:p w14:paraId="06436F71" w14:textId="77777777" w:rsidR="00E90BC9" w:rsidRPr="00A806FC" w:rsidRDefault="00E90BC9" w:rsidP="00E90BC9">
      <w:pPr>
        <w:tabs>
          <w:tab w:val="left" w:pos="360"/>
        </w:tabs>
        <w:spacing w:after="0" w:line="240" w:lineRule="auto"/>
        <w:jc w:val="both"/>
        <w:rPr>
          <w:rFonts w:asciiTheme="majorBidi" w:eastAsia="Calibri" w:hAnsiTheme="majorBidi" w:cstheme="majorBidi"/>
          <w:sz w:val="24"/>
          <w:szCs w:val="24"/>
          <w:lang w:val="ms-MY"/>
        </w:rPr>
      </w:pPr>
    </w:p>
    <w:p w14:paraId="5F68D2A1" w14:textId="32FC5101" w:rsidR="00A758F5" w:rsidRDefault="00E90BC9" w:rsidP="00A806FC">
      <w:pPr>
        <w:tabs>
          <w:tab w:val="left" w:pos="360"/>
        </w:tabs>
        <w:spacing w:after="0" w:line="240" w:lineRule="auto"/>
        <w:jc w:val="both"/>
        <w:rPr>
          <w:rFonts w:asciiTheme="majorBidi" w:eastAsia="Calibri" w:hAnsiTheme="majorBidi" w:cstheme="majorBidi"/>
          <w:sz w:val="24"/>
          <w:szCs w:val="24"/>
          <w:lang w:val="ms-MY"/>
        </w:rPr>
      </w:pPr>
      <w:r w:rsidRPr="00A806FC">
        <w:rPr>
          <w:rFonts w:asciiTheme="majorBidi" w:eastAsia="Calibri" w:hAnsiTheme="majorBidi" w:cstheme="majorBidi"/>
          <w:sz w:val="24"/>
          <w:szCs w:val="24"/>
          <w:lang w:val="ms-MY"/>
        </w:rPr>
        <w:t xml:space="preserve">CCTV sebenarnya boleh dijadikan bahan bukti kerana ia merupakan keterangan elektronik berada di bawah konsep </w:t>
      </w:r>
      <w:r w:rsidRPr="00A806FC">
        <w:rPr>
          <w:rFonts w:asciiTheme="majorBidi" w:eastAsia="Calibri" w:hAnsiTheme="majorBidi" w:cstheme="majorBidi"/>
          <w:i/>
          <w:iCs/>
          <w:sz w:val="24"/>
          <w:szCs w:val="24"/>
          <w:lang w:val="ms-MY"/>
        </w:rPr>
        <w:t>kitabah</w:t>
      </w:r>
      <w:r w:rsidRPr="00A806FC">
        <w:rPr>
          <w:rFonts w:asciiTheme="majorBidi" w:eastAsia="Calibri" w:hAnsiTheme="majorBidi" w:cstheme="majorBidi"/>
          <w:sz w:val="24"/>
          <w:szCs w:val="24"/>
          <w:lang w:val="ms-MY"/>
        </w:rPr>
        <w:t xml:space="preserve"> atau dokumentari atau </w:t>
      </w:r>
      <w:r w:rsidRPr="00A806FC">
        <w:rPr>
          <w:rFonts w:asciiTheme="majorBidi" w:eastAsia="Calibri" w:hAnsiTheme="majorBidi" w:cstheme="majorBidi"/>
          <w:i/>
          <w:iCs/>
          <w:sz w:val="24"/>
          <w:szCs w:val="24"/>
          <w:lang w:val="ms-MY"/>
        </w:rPr>
        <w:t xml:space="preserve">wathaiq </w:t>
      </w:r>
      <w:r w:rsidRPr="00A806FC">
        <w:rPr>
          <w:rFonts w:asciiTheme="majorBidi" w:eastAsia="Calibri" w:hAnsiTheme="majorBidi" w:cstheme="majorBidi"/>
          <w:sz w:val="24"/>
          <w:szCs w:val="24"/>
          <w:lang w:val="ms-MY"/>
        </w:rPr>
        <w:t xml:space="preserve">yang menjadi kaedah keterangan yang utama di mahkamah, sama ada di Mahkamah Syariah atau di Mahkamah Sivil. Sekiranya pembuktian melalui dokumen elektronik seperti CCTV tidak diterima pakai, maka agak sukar pindaan Akta 355 ini hendak dilaksanakan. Ini kerana syarat-syarat saksi yang telah digariskan amat sukar untuk dipenuhi. </w:t>
      </w:r>
      <w:r w:rsidR="00A758F5" w:rsidRPr="00A806FC">
        <w:rPr>
          <w:rFonts w:asciiTheme="majorBidi" w:eastAsia="Calibri" w:hAnsiTheme="majorBidi" w:cstheme="majorBidi"/>
          <w:sz w:val="24"/>
          <w:szCs w:val="24"/>
          <w:lang w:val="ms-MY"/>
        </w:rPr>
        <w:t>....</w:t>
      </w:r>
    </w:p>
    <w:p w14:paraId="18241EB1" w14:textId="77777777" w:rsidR="00A806FC" w:rsidRPr="00A806FC" w:rsidRDefault="00A806FC" w:rsidP="00A806FC">
      <w:pPr>
        <w:tabs>
          <w:tab w:val="left" w:pos="360"/>
        </w:tabs>
        <w:spacing w:after="0" w:line="240" w:lineRule="auto"/>
        <w:jc w:val="both"/>
        <w:rPr>
          <w:rFonts w:asciiTheme="majorBidi" w:eastAsia="Calibri" w:hAnsiTheme="majorBidi" w:cstheme="majorBidi"/>
          <w:sz w:val="24"/>
          <w:szCs w:val="24"/>
          <w:lang w:val="ms-MY"/>
        </w:rPr>
      </w:pPr>
    </w:p>
    <w:p w14:paraId="53654706" w14:textId="11C6CC21" w:rsidR="00E90BC9" w:rsidRPr="00A806FC" w:rsidRDefault="00A758F5" w:rsidP="00A51E52">
      <w:pPr>
        <w:pStyle w:val="Heading1"/>
        <w:spacing w:before="0" w:after="0" w:afterAutospacing="0"/>
        <w:rPr>
          <w:rFonts w:asciiTheme="majorBidi" w:hAnsiTheme="majorBidi" w:cstheme="majorBidi"/>
          <w:sz w:val="24"/>
          <w:szCs w:val="24"/>
          <w:lang w:val="ms-MY"/>
        </w:rPr>
      </w:pPr>
      <w:r w:rsidRPr="00A806FC">
        <w:rPr>
          <w:rFonts w:asciiTheme="majorBidi" w:hAnsiTheme="majorBidi" w:cstheme="majorBidi"/>
          <w:color w:val="FF0000"/>
          <w:sz w:val="24"/>
          <w:szCs w:val="24"/>
          <w:lang w:val="en"/>
        </w:rPr>
        <w:t>[Font: Times New Roman, capital, bold, 1</w:t>
      </w:r>
      <w:r w:rsidR="00A857D9" w:rsidRPr="00A806FC">
        <w:rPr>
          <w:rFonts w:asciiTheme="majorBidi" w:hAnsiTheme="majorBidi" w:cstheme="majorBidi"/>
          <w:color w:val="FF0000"/>
          <w:sz w:val="24"/>
          <w:szCs w:val="24"/>
          <w:lang w:val="en"/>
        </w:rPr>
        <w:t>2</w:t>
      </w:r>
      <w:r w:rsidRPr="00A806FC">
        <w:rPr>
          <w:rFonts w:asciiTheme="majorBidi" w:hAnsiTheme="majorBidi" w:cstheme="majorBidi"/>
          <w:color w:val="FF0000"/>
          <w:sz w:val="24"/>
          <w:szCs w:val="24"/>
          <w:lang w:val="en"/>
        </w:rPr>
        <w:t xml:space="preserve">] </w:t>
      </w:r>
      <w:r w:rsidR="00E92282" w:rsidRPr="00A806FC">
        <w:rPr>
          <w:rFonts w:asciiTheme="majorBidi" w:hAnsiTheme="majorBidi" w:cstheme="majorBidi"/>
          <w:sz w:val="24"/>
          <w:szCs w:val="24"/>
          <w:lang w:val="ms-MY"/>
        </w:rPr>
        <w:t>RUJUKAN</w:t>
      </w:r>
      <w:r w:rsidR="00A36B41" w:rsidRPr="00A806FC">
        <w:rPr>
          <w:rFonts w:asciiTheme="majorBidi" w:hAnsiTheme="majorBidi" w:cstheme="majorBidi"/>
          <w:sz w:val="24"/>
          <w:szCs w:val="24"/>
          <w:lang w:val="ms-MY"/>
        </w:rPr>
        <w:t>:</w:t>
      </w:r>
    </w:p>
    <w:p w14:paraId="6F629787" w14:textId="77777777" w:rsidR="00A51E52" w:rsidRPr="00A806FC" w:rsidRDefault="00A51E52" w:rsidP="00A51E52">
      <w:pPr>
        <w:spacing w:after="0" w:line="240" w:lineRule="auto"/>
        <w:rPr>
          <w:rFonts w:asciiTheme="majorBidi" w:hAnsiTheme="majorBidi" w:cstheme="majorBidi"/>
          <w:bCs/>
          <w:color w:val="FF0000"/>
          <w:sz w:val="24"/>
          <w:szCs w:val="24"/>
        </w:rPr>
      </w:pPr>
      <w:bookmarkStart w:id="0" w:name="_Hlk8369997"/>
    </w:p>
    <w:p w14:paraId="345C1AE4" w14:textId="7F2787D6" w:rsidR="00C65FD5" w:rsidRPr="00A806FC" w:rsidRDefault="00C65FD5" w:rsidP="00A51E52">
      <w:pPr>
        <w:spacing w:after="0" w:line="240" w:lineRule="auto"/>
        <w:rPr>
          <w:rFonts w:asciiTheme="majorBidi" w:hAnsiTheme="majorBidi" w:cstheme="majorBidi"/>
          <w:b/>
          <w:color w:val="FF0000"/>
          <w:sz w:val="24"/>
          <w:szCs w:val="24"/>
        </w:rPr>
      </w:pPr>
      <w:r w:rsidRPr="00A806FC">
        <w:rPr>
          <w:rFonts w:asciiTheme="majorBidi" w:hAnsiTheme="majorBidi" w:cstheme="majorBidi"/>
          <w:bCs/>
          <w:color w:val="FF0000"/>
          <w:sz w:val="24"/>
          <w:szCs w:val="24"/>
        </w:rPr>
        <w:t>[Font: Times New Roman, 1</w:t>
      </w:r>
      <w:r w:rsidR="00A857D9" w:rsidRPr="00A806FC">
        <w:rPr>
          <w:rFonts w:asciiTheme="majorBidi" w:hAnsiTheme="majorBidi" w:cstheme="majorBidi"/>
          <w:bCs/>
          <w:color w:val="FF0000"/>
          <w:sz w:val="24"/>
          <w:szCs w:val="24"/>
        </w:rPr>
        <w:t>2</w:t>
      </w:r>
      <w:r w:rsidRPr="00A806FC">
        <w:rPr>
          <w:rFonts w:asciiTheme="majorBidi" w:hAnsiTheme="majorBidi" w:cstheme="majorBidi"/>
          <w:bCs/>
          <w:color w:val="FF0000"/>
          <w:sz w:val="24"/>
          <w:szCs w:val="24"/>
        </w:rPr>
        <w:t xml:space="preserve">] </w:t>
      </w:r>
      <w:r w:rsidR="00D90A59" w:rsidRPr="00A806FC">
        <w:rPr>
          <w:rFonts w:asciiTheme="majorBidi" w:hAnsiTheme="majorBidi" w:cstheme="majorBidi"/>
          <w:b/>
          <w:color w:val="FF0000"/>
          <w:sz w:val="24"/>
          <w:szCs w:val="24"/>
        </w:rPr>
        <w:t>(APA 6</w:t>
      </w:r>
      <w:r w:rsidRPr="00A806FC">
        <w:rPr>
          <w:rFonts w:asciiTheme="majorBidi" w:hAnsiTheme="majorBidi" w:cstheme="majorBidi"/>
          <w:b/>
          <w:color w:val="FF0000"/>
          <w:sz w:val="24"/>
          <w:szCs w:val="24"/>
          <w:vertAlign w:val="superscript"/>
        </w:rPr>
        <w:t>th</w:t>
      </w:r>
      <w:r w:rsidRPr="00A806FC">
        <w:rPr>
          <w:rFonts w:asciiTheme="majorBidi" w:hAnsiTheme="majorBidi" w:cstheme="majorBidi"/>
          <w:b/>
          <w:color w:val="FF0000"/>
          <w:sz w:val="24"/>
          <w:szCs w:val="24"/>
        </w:rPr>
        <w:t xml:space="preserve"> Edition, Single Spacing)</w:t>
      </w:r>
    </w:p>
    <w:bookmarkEnd w:id="0"/>
    <w:p w14:paraId="4C80789D" w14:textId="77777777" w:rsidR="00E90BC9" w:rsidRPr="00A806FC" w:rsidRDefault="00E90BC9" w:rsidP="00E90BC9">
      <w:pPr>
        <w:pStyle w:val="FootnoteText"/>
        <w:ind w:left="709" w:hanging="709"/>
        <w:jc w:val="both"/>
        <w:rPr>
          <w:rFonts w:asciiTheme="majorBidi" w:hAnsiTheme="majorBidi" w:cstheme="majorBidi"/>
          <w:sz w:val="24"/>
          <w:szCs w:val="24"/>
          <w:shd w:val="clear" w:color="auto" w:fill="FFFFFF"/>
          <w:lang w:val="ms-MY"/>
        </w:rPr>
      </w:pPr>
      <w:r w:rsidRPr="00A806FC">
        <w:rPr>
          <w:rFonts w:asciiTheme="majorBidi" w:hAnsiTheme="majorBidi" w:cstheme="majorBidi"/>
          <w:sz w:val="24"/>
          <w:szCs w:val="24"/>
          <w:lang w:val="ms-MY"/>
        </w:rPr>
        <w:t xml:space="preserve">Abd al-Mutalib Abd. Razak Hamdan. (2007). </w:t>
      </w:r>
      <w:r w:rsidRPr="00A806FC">
        <w:rPr>
          <w:rFonts w:asciiTheme="majorBidi" w:hAnsiTheme="majorBidi" w:cstheme="majorBidi"/>
          <w:i/>
          <w:iCs/>
          <w:sz w:val="24"/>
          <w:szCs w:val="24"/>
          <w:lang w:val="ms-MY"/>
        </w:rPr>
        <w:t>Al-Da’wa wa Ithbatiha fi al-Fiqh al-Jina’I al-Islami</w:t>
      </w:r>
      <w:r w:rsidRPr="00A806FC">
        <w:rPr>
          <w:rFonts w:asciiTheme="majorBidi" w:hAnsiTheme="majorBidi" w:cstheme="majorBidi"/>
          <w:sz w:val="24"/>
          <w:szCs w:val="24"/>
          <w:lang w:val="ms-MY"/>
        </w:rPr>
        <w:t>. al-Iskandariyyah: Dar al-Fikr al-Jaami’, hlm. 21.</w:t>
      </w:r>
    </w:p>
    <w:p w14:paraId="77A00C6D" w14:textId="77777777" w:rsidR="00E90BC9" w:rsidRPr="00A806FC" w:rsidRDefault="00E90BC9" w:rsidP="00E90BC9">
      <w:pPr>
        <w:spacing w:after="0" w:line="240" w:lineRule="auto"/>
        <w:ind w:left="720" w:hanging="720"/>
        <w:jc w:val="both"/>
        <w:rPr>
          <w:rFonts w:asciiTheme="majorBidi" w:eastAsia="Times New Roman" w:hAnsiTheme="majorBidi" w:cstheme="majorBidi"/>
          <w:sz w:val="24"/>
          <w:szCs w:val="24"/>
          <w:lang w:val="ms-MY"/>
        </w:rPr>
      </w:pPr>
      <w:r w:rsidRPr="00A806FC">
        <w:rPr>
          <w:rFonts w:asciiTheme="majorBidi" w:eastAsia="Times New Roman" w:hAnsiTheme="majorBidi" w:cstheme="majorBidi"/>
          <w:sz w:val="24"/>
          <w:szCs w:val="24"/>
          <w:lang w:val="ms-MY"/>
        </w:rPr>
        <w:t xml:space="preserve">Al-Farahaidi, Abd. Al-Rahman al-Khalil ibn Ahmad. (t.t). </w:t>
      </w:r>
      <w:r w:rsidRPr="00A806FC">
        <w:rPr>
          <w:rFonts w:asciiTheme="majorBidi" w:eastAsia="Times New Roman" w:hAnsiTheme="majorBidi" w:cstheme="majorBidi"/>
          <w:i/>
          <w:iCs/>
          <w:sz w:val="24"/>
          <w:szCs w:val="24"/>
          <w:lang w:val="ms-MY"/>
        </w:rPr>
        <w:t>Kitab al-Ain</w:t>
      </w:r>
      <w:r w:rsidRPr="00A806FC">
        <w:rPr>
          <w:rFonts w:asciiTheme="majorBidi" w:eastAsia="Times New Roman" w:hAnsiTheme="majorBidi" w:cstheme="majorBidi"/>
          <w:sz w:val="24"/>
          <w:szCs w:val="24"/>
          <w:lang w:val="ms-MY"/>
        </w:rPr>
        <w:t>. Beirut: Dar Ihya’ al-Turath al-Arabiyy.</w:t>
      </w:r>
    </w:p>
    <w:p w14:paraId="5209B94B" w14:textId="77777777" w:rsidR="00E90BC9" w:rsidRPr="00A806FC" w:rsidRDefault="00E90BC9" w:rsidP="00E90BC9">
      <w:pPr>
        <w:spacing w:after="0" w:line="240" w:lineRule="auto"/>
        <w:ind w:left="720" w:hanging="720"/>
        <w:jc w:val="both"/>
        <w:rPr>
          <w:rFonts w:asciiTheme="majorBidi" w:eastAsia="Times New Roman" w:hAnsiTheme="majorBidi" w:cstheme="majorBidi"/>
          <w:sz w:val="24"/>
          <w:szCs w:val="24"/>
          <w:lang w:val="ms-MY"/>
        </w:rPr>
      </w:pPr>
      <w:r w:rsidRPr="00A806FC">
        <w:rPr>
          <w:rFonts w:asciiTheme="majorBidi" w:eastAsia="Times New Roman" w:hAnsiTheme="majorBidi" w:cstheme="majorBidi"/>
          <w:sz w:val="24"/>
          <w:szCs w:val="24"/>
          <w:lang w:val="ms-MY"/>
        </w:rPr>
        <w:t xml:space="preserve">Al-Humaidhi, Abd. Al-Rahman Ibrahim. (1989). </w:t>
      </w:r>
      <w:r w:rsidRPr="00A806FC">
        <w:rPr>
          <w:rFonts w:asciiTheme="majorBidi" w:eastAsia="Times New Roman" w:hAnsiTheme="majorBidi" w:cstheme="majorBidi"/>
          <w:i/>
          <w:iCs/>
          <w:sz w:val="24"/>
          <w:szCs w:val="24"/>
          <w:lang w:val="ms-MY"/>
        </w:rPr>
        <w:t>Al-Qadha’ wa Nizamuhu fi al-Kitab wa al-Sunnah</w:t>
      </w:r>
      <w:r w:rsidRPr="00A806FC">
        <w:rPr>
          <w:rFonts w:asciiTheme="majorBidi" w:eastAsia="Times New Roman" w:hAnsiTheme="majorBidi" w:cstheme="majorBidi"/>
          <w:sz w:val="24"/>
          <w:szCs w:val="24"/>
          <w:lang w:val="ms-MY"/>
        </w:rPr>
        <w:t>. Makkah: Maahad al-Buhuth al-‘Ilmiyyah.</w:t>
      </w:r>
    </w:p>
    <w:p w14:paraId="5A164A49" w14:textId="77777777" w:rsidR="00E90BC9" w:rsidRPr="00A806FC" w:rsidRDefault="00E90BC9" w:rsidP="00E90BC9">
      <w:pPr>
        <w:spacing w:after="0" w:line="240" w:lineRule="auto"/>
        <w:ind w:left="720" w:hanging="720"/>
        <w:jc w:val="both"/>
        <w:rPr>
          <w:rFonts w:asciiTheme="majorBidi" w:eastAsia="Times New Roman" w:hAnsiTheme="majorBidi" w:cstheme="majorBidi"/>
          <w:sz w:val="24"/>
          <w:szCs w:val="24"/>
          <w:lang w:val="ms-MY"/>
        </w:rPr>
      </w:pPr>
      <w:r w:rsidRPr="00A806FC">
        <w:rPr>
          <w:rFonts w:asciiTheme="majorBidi" w:eastAsia="Times New Roman" w:hAnsiTheme="majorBidi" w:cstheme="majorBidi"/>
          <w:sz w:val="24"/>
          <w:szCs w:val="24"/>
          <w:lang w:val="ms-MY"/>
        </w:rPr>
        <w:t xml:space="preserve">Al-Qurafi, Ahmad ibn Idris al-Sanhaji al-Misriyy al-Malikiyy. </w:t>
      </w:r>
      <w:r w:rsidRPr="00A806FC">
        <w:rPr>
          <w:rFonts w:asciiTheme="majorBidi" w:eastAsia="Times New Roman" w:hAnsiTheme="majorBidi" w:cstheme="majorBidi"/>
          <w:i/>
          <w:iCs/>
          <w:sz w:val="24"/>
          <w:szCs w:val="24"/>
          <w:lang w:val="ms-MY"/>
        </w:rPr>
        <w:t>Al-Dzakhirah fii furu’ al-Malikiyyah</w:t>
      </w:r>
      <w:r w:rsidRPr="00A806FC">
        <w:rPr>
          <w:rFonts w:asciiTheme="majorBidi" w:eastAsia="Times New Roman" w:hAnsiTheme="majorBidi" w:cstheme="majorBidi"/>
          <w:sz w:val="24"/>
          <w:szCs w:val="24"/>
          <w:lang w:val="ms-MY"/>
        </w:rPr>
        <w:t>. Beirut: Dar al-Kutub al-Ilmiyyah.</w:t>
      </w:r>
    </w:p>
    <w:p w14:paraId="242CBCC5" w14:textId="77777777" w:rsidR="00E90BC9" w:rsidRPr="00A806FC" w:rsidRDefault="00E90BC9" w:rsidP="00E90BC9">
      <w:pPr>
        <w:spacing w:after="0" w:line="240" w:lineRule="auto"/>
        <w:ind w:left="720" w:hanging="720"/>
        <w:jc w:val="both"/>
        <w:rPr>
          <w:rFonts w:asciiTheme="majorBidi" w:eastAsia="Times New Roman" w:hAnsiTheme="majorBidi" w:cstheme="majorBidi"/>
          <w:sz w:val="24"/>
          <w:szCs w:val="24"/>
          <w:lang w:val="ms-MY" w:bidi="ar-JO"/>
        </w:rPr>
      </w:pPr>
      <w:r w:rsidRPr="00A806FC">
        <w:rPr>
          <w:rFonts w:asciiTheme="majorBidi" w:eastAsia="Times New Roman" w:hAnsiTheme="majorBidi" w:cstheme="majorBidi"/>
          <w:sz w:val="24"/>
          <w:szCs w:val="24"/>
          <w:lang w:val="ms-MY"/>
        </w:rPr>
        <w:t xml:space="preserve">Al-Zuhailiyy, Muhammad Mustafa. (1994). </w:t>
      </w:r>
      <w:r w:rsidRPr="00A806FC">
        <w:rPr>
          <w:rFonts w:asciiTheme="majorBidi" w:eastAsia="Times New Roman" w:hAnsiTheme="majorBidi" w:cstheme="majorBidi"/>
          <w:i/>
          <w:iCs/>
          <w:sz w:val="24"/>
          <w:szCs w:val="24"/>
          <w:lang w:val="ms-MY"/>
        </w:rPr>
        <w:t>Wasail al-Ithbat fi al-Syariah al-Islamiyyah wa-Muamalat al-Madaniyyah wa al-Ahwal al-Syakhsiyyah</w:t>
      </w:r>
      <w:r w:rsidRPr="00A806FC">
        <w:rPr>
          <w:rFonts w:asciiTheme="majorBidi" w:eastAsia="Times New Roman" w:hAnsiTheme="majorBidi" w:cstheme="majorBidi"/>
          <w:sz w:val="24"/>
          <w:szCs w:val="24"/>
          <w:lang w:val="ms-MY"/>
        </w:rPr>
        <w:t>. Riyadh: Maktabah al-Mu’ayyad.</w:t>
      </w:r>
    </w:p>
    <w:p w14:paraId="63529AC5" w14:textId="77777777" w:rsidR="00E90BC9" w:rsidRPr="00A806FC" w:rsidRDefault="00E90BC9" w:rsidP="00E90BC9">
      <w:pPr>
        <w:spacing w:after="0" w:line="240" w:lineRule="auto"/>
        <w:ind w:left="720" w:hanging="720"/>
        <w:jc w:val="both"/>
        <w:rPr>
          <w:rFonts w:asciiTheme="majorBidi" w:eastAsia="Times New Roman" w:hAnsiTheme="majorBidi" w:cstheme="majorBidi"/>
          <w:sz w:val="24"/>
          <w:szCs w:val="24"/>
          <w:lang w:val="ms-MY"/>
        </w:rPr>
      </w:pPr>
      <w:r w:rsidRPr="00A806FC">
        <w:rPr>
          <w:rFonts w:asciiTheme="majorBidi" w:eastAsia="Times New Roman" w:hAnsiTheme="majorBidi" w:cstheme="majorBidi"/>
          <w:sz w:val="24"/>
          <w:szCs w:val="24"/>
          <w:lang w:val="ms-MY"/>
        </w:rPr>
        <w:t xml:space="preserve">Ibnu Abidin. (1995). </w:t>
      </w:r>
      <w:r w:rsidRPr="00A806FC">
        <w:rPr>
          <w:rFonts w:asciiTheme="majorBidi" w:eastAsia="Times New Roman" w:hAnsiTheme="majorBidi" w:cstheme="majorBidi"/>
          <w:i/>
          <w:iCs/>
          <w:sz w:val="24"/>
          <w:szCs w:val="24"/>
          <w:lang w:val="ms-MY"/>
        </w:rPr>
        <w:t>Hasyiah Rad al-Mukhtar ‘ala al-Durr al-Mukhtar Syarh Tanwir al-Absar fii Fiqh Mazhab al-Imam Abi Hanifah.</w:t>
      </w:r>
      <w:r w:rsidRPr="00A806FC">
        <w:rPr>
          <w:rFonts w:asciiTheme="majorBidi" w:eastAsia="Times New Roman" w:hAnsiTheme="majorBidi" w:cstheme="majorBidi"/>
          <w:sz w:val="24"/>
          <w:szCs w:val="24"/>
          <w:lang w:val="ms-MY"/>
        </w:rPr>
        <w:t xml:space="preserve"> Beirut: Dar al-Fikr</w:t>
      </w:r>
    </w:p>
    <w:p w14:paraId="73086329" w14:textId="77777777" w:rsidR="00E90BC9" w:rsidRPr="00A806FC" w:rsidRDefault="00E90BC9" w:rsidP="00E90BC9">
      <w:pPr>
        <w:spacing w:after="0" w:line="240" w:lineRule="auto"/>
        <w:ind w:left="709" w:hanging="709"/>
        <w:jc w:val="both"/>
        <w:rPr>
          <w:rFonts w:asciiTheme="majorBidi" w:hAnsiTheme="majorBidi" w:cstheme="majorBidi"/>
          <w:sz w:val="24"/>
          <w:szCs w:val="24"/>
          <w:lang w:val="ms-MY" w:bidi="ar-JO"/>
        </w:rPr>
      </w:pPr>
      <w:r w:rsidRPr="00A806FC">
        <w:rPr>
          <w:rFonts w:asciiTheme="majorBidi" w:hAnsiTheme="majorBidi" w:cstheme="majorBidi"/>
          <w:sz w:val="24"/>
          <w:szCs w:val="24"/>
          <w:lang w:val="ms-MY"/>
        </w:rPr>
        <w:lastRenderedPageBreak/>
        <w:t xml:space="preserve">Ibnu Taimiyyah, Ahmad. (2001). </w:t>
      </w:r>
      <w:r w:rsidRPr="00A806FC">
        <w:rPr>
          <w:rFonts w:asciiTheme="majorBidi" w:hAnsiTheme="majorBidi" w:cstheme="majorBidi"/>
          <w:i/>
          <w:iCs/>
          <w:sz w:val="24"/>
          <w:szCs w:val="24"/>
          <w:lang w:val="ms-MY"/>
        </w:rPr>
        <w:t>Majmu’ah al-Fatawa</w:t>
      </w:r>
      <w:r w:rsidRPr="00A806FC">
        <w:rPr>
          <w:rFonts w:asciiTheme="majorBidi" w:hAnsiTheme="majorBidi" w:cstheme="majorBidi"/>
          <w:sz w:val="24"/>
          <w:szCs w:val="24"/>
          <w:lang w:val="ms-MY"/>
        </w:rPr>
        <w:t xml:space="preserve">. Cetakan kedua. Juz 7, Al-Mansurah: Dar al-Wafa’, hlm 234. Lihat juga </w:t>
      </w:r>
      <w:r w:rsidRPr="00A806FC">
        <w:rPr>
          <w:rFonts w:asciiTheme="majorBidi" w:hAnsiTheme="majorBidi" w:cstheme="majorBidi"/>
          <w:sz w:val="24"/>
          <w:szCs w:val="24"/>
          <w:lang w:val="ms-MY" w:bidi="ar-JO"/>
        </w:rPr>
        <w:t xml:space="preserve">Ibnu Qayyim, 1996, </w:t>
      </w:r>
      <w:r w:rsidRPr="00A806FC">
        <w:rPr>
          <w:rFonts w:asciiTheme="majorBidi" w:hAnsiTheme="majorBidi" w:cstheme="majorBidi"/>
          <w:i/>
          <w:iCs/>
          <w:sz w:val="24"/>
          <w:szCs w:val="24"/>
          <w:lang w:val="ms-MY" w:bidi="ar-JO"/>
        </w:rPr>
        <w:t xml:space="preserve">‘Ilam al-Muaqi‘in </w:t>
      </w:r>
      <w:r w:rsidRPr="00A806FC">
        <w:rPr>
          <w:rFonts w:asciiTheme="majorBidi" w:hAnsiTheme="majorBidi" w:cstheme="majorBidi"/>
          <w:i/>
          <w:iCs/>
          <w:sz w:val="24"/>
          <w:szCs w:val="24"/>
          <w:vertAlign w:val="superscript"/>
          <w:lang w:val="ms-MY" w:bidi="ar-JO"/>
        </w:rPr>
        <w:t>‘</w:t>
      </w:r>
      <w:r w:rsidRPr="00A806FC">
        <w:rPr>
          <w:rFonts w:asciiTheme="majorBidi" w:hAnsiTheme="majorBidi" w:cstheme="majorBidi"/>
          <w:i/>
          <w:iCs/>
          <w:sz w:val="24"/>
          <w:szCs w:val="24"/>
          <w:lang w:val="ms-MY" w:bidi="ar-JO"/>
        </w:rPr>
        <w:t>an Rabb al-‘Alamin</w:t>
      </w:r>
      <w:r w:rsidRPr="00A806FC">
        <w:rPr>
          <w:rFonts w:asciiTheme="majorBidi" w:hAnsiTheme="majorBidi" w:cstheme="majorBidi"/>
          <w:sz w:val="24"/>
          <w:szCs w:val="24"/>
          <w:lang w:val="ms-MY" w:bidi="ar-JO"/>
        </w:rPr>
        <w:t xml:space="preserve">, Juz 1, </w:t>
      </w:r>
      <w:r w:rsidRPr="00A806FC">
        <w:rPr>
          <w:rFonts w:asciiTheme="majorBidi" w:hAnsiTheme="majorBidi" w:cstheme="majorBidi"/>
          <w:sz w:val="24"/>
          <w:szCs w:val="24"/>
          <w:lang w:val="ms-MY"/>
        </w:rPr>
        <w:t>Dar al-Kutub al-</w:t>
      </w:r>
      <w:r w:rsidRPr="00A806FC">
        <w:rPr>
          <w:rFonts w:asciiTheme="majorBidi" w:hAnsiTheme="majorBidi" w:cstheme="majorBidi"/>
          <w:sz w:val="24"/>
          <w:szCs w:val="24"/>
          <w:vertAlign w:val="superscript"/>
          <w:lang w:val="ms-MY"/>
        </w:rPr>
        <w:t>‘</w:t>
      </w:r>
      <w:r w:rsidRPr="00A806FC">
        <w:rPr>
          <w:rFonts w:asciiTheme="majorBidi" w:hAnsiTheme="majorBidi" w:cstheme="majorBidi"/>
          <w:sz w:val="24"/>
          <w:szCs w:val="24"/>
          <w:lang w:val="ms-MY"/>
        </w:rPr>
        <w:t>Ilmiyyah: Beirut, hlm. 71.</w:t>
      </w:r>
    </w:p>
    <w:p w14:paraId="23D115CE" w14:textId="77777777" w:rsidR="00E90BC9" w:rsidRPr="00A806FC" w:rsidRDefault="00E90BC9" w:rsidP="00E90BC9">
      <w:pPr>
        <w:spacing w:after="0" w:line="240" w:lineRule="auto"/>
        <w:ind w:left="709" w:hanging="709"/>
        <w:jc w:val="both"/>
        <w:rPr>
          <w:rFonts w:asciiTheme="majorBidi" w:hAnsiTheme="majorBidi" w:cstheme="majorBidi"/>
          <w:i/>
          <w:iCs/>
          <w:color w:val="555555"/>
          <w:sz w:val="24"/>
          <w:szCs w:val="24"/>
          <w:lang w:val="ms-MY"/>
        </w:rPr>
      </w:pPr>
      <w:r w:rsidRPr="00A806FC">
        <w:rPr>
          <w:rFonts w:asciiTheme="majorBidi" w:hAnsiTheme="majorBidi" w:cstheme="majorBidi"/>
          <w:sz w:val="24"/>
          <w:szCs w:val="24"/>
          <w:lang w:val="ms-MY" w:bidi="ar-JO"/>
        </w:rPr>
        <w:t xml:space="preserve">Jackson, A (2013) </w:t>
      </w:r>
      <w:r w:rsidRPr="00A806FC">
        <w:rPr>
          <w:rFonts w:asciiTheme="majorBidi" w:hAnsiTheme="majorBidi" w:cstheme="majorBidi"/>
          <w:sz w:val="24"/>
          <w:szCs w:val="24"/>
          <w:lang w:val="ms-MY"/>
        </w:rPr>
        <w:t>The Admissibility of Identification Evidence Made on the Basis of Recognition from Photographs Taken at a Crime Scene R</w:t>
      </w:r>
      <w:r w:rsidRPr="00A806FC">
        <w:rPr>
          <w:rFonts w:asciiTheme="majorBidi" w:hAnsiTheme="majorBidi" w:cstheme="majorBidi"/>
          <w:i/>
          <w:iCs/>
          <w:sz w:val="24"/>
          <w:szCs w:val="24"/>
          <w:lang w:val="ms-MY"/>
        </w:rPr>
        <w:t xml:space="preserve"> v Doherty [2016] </w:t>
      </w:r>
      <w:r w:rsidRPr="00A806FC">
        <w:rPr>
          <w:rFonts w:asciiTheme="majorBidi" w:hAnsiTheme="majorBidi" w:cstheme="majorBidi"/>
          <w:sz w:val="24"/>
          <w:szCs w:val="24"/>
          <w:lang w:val="ms-MY"/>
        </w:rPr>
        <w:t>EWCA Crim 246,</w:t>
      </w:r>
      <w:r w:rsidRPr="00A806FC">
        <w:rPr>
          <w:rFonts w:asciiTheme="majorBidi" w:hAnsiTheme="majorBidi" w:cstheme="majorBidi"/>
          <w:i/>
          <w:iCs/>
          <w:sz w:val="24"/>
          <w:szCs w:val="24"/>
          <w:lang w:val="ms-MY"/>
        </w:rPr>
        <w:t xml:space="preserve"> The Journal of Criminal Law</w:t>
      </w:r>
      <w:r w:rsidRPr="00A806FC">
        <w:rPr>
          <w:rFonts w:asciiTheme="majorBidi" w:hAnsiTheme="majorBidi" w:cstheme="majorBidi"/>
          <w:i/>
          <w:iCs/>
          <w:color w:val="555555"/>
          <w:sz w:val="24"/>
          <w:szCs w:val="24"/>
          <w:lang w:val="ms-MY"/>
        </w:rPr>
        <w:t>.</w:t>
      </w:r>
    </w:p>
    <w:p w14:paraId="273E47B2" w14:textId="77777777" w:rsidR="00106C0B" w:rsidRPr="00A806FC" w:rsidRDefault="00106C0B" w:rsidP="00E90BC9">
      <w:pPr>
        <w:spacing w:after="0" w:line="240" w:lineRule="auto"/>
        <w:ind w:left="709" w:hanging="709"/>
        <w:jc w:val="both"/>
        <w:rPr>
          <w:rFonts w:asciiTheme="majorBidi" w:hAnsiTheme="majorBidi" w:cstheme="majorBidi"/>
          <w:i/>
          <w:iCs/>
          <w:color w:val="555555"/>
          <w:sz w:val="24"/>
          <w:szCs w:val="24"/>
          <w:lang w:val="ms-MY"/>
        </w:rPr>
      </w:pPr>
    </w:p>
    <w:p w14:paraId="1B51328F" w14:textId="77777777" w:rsidR="00106C0B" w:rsidRPr="00A806FC" w:rsidRDefault="00106C0B" w:rsidP="00E90BC9">
      <w:pPr>
        <w:spacing w:after="0" w:line="240" w:lineRule="auto"/>
        <w:ind w:left="709" w:hanging="709"/>
        <w:jc w:val="both"/>
        <w:rPr>
          <w:rFonts w:asciiTheme="majorBidi" w:hAnsiTheme="majorBidi" w:cstheme="majorBidi"/>
          <w:i/>
          <w:iCs/>
          <w:color w:val="555555"/>
          <w:sz w:val="24"/>
          <w:szCs w:val="24"/>
          <w:lang w:val="ms-MY"/>
        </w:rPr>
      </w:pPr>
    </w:p>
    <w:p w14:paraId="150D68F3" w14:textId="77777777" w:rsidR="00D90A59" w:rsidRPr="00A806FC" w:rsidRDefault="00D90A59" w:rsidP="00E90BC9">
      <w:pPr>
        <w:spacing w:after="0" w:line="240" w:lineRule="auto"/>
        <w:ind w:left="709" w:hanging="709"/>
        <w:jc w:val="both"/>
        <w:rPr>
          <w:rFonts w:asciiTheme="majorBidi" w:hAnsiTheme="majorBidi" w:cstheme="majorBidi"/>
          <w:i/>
          <w:iCs/>
          <w:color w:val="555555"/>
          <w:sz w:val="24"/>
          <w:szCs w:val="24"/>
          <w:lang w:val="ms-MY"/>
        </w:rPr>
      </w:pPr>
    </w:p>
    <w:p w14:paraId="3E7FF351" w14:textId="77777777" w:rsidR="00106C0B" w:rsidRDefault="00106C0B" w:rsidP="00E90BC9">
      <w:pPr>
        <w:spacing w:after="0" w:line="240" w:lineRule="auto"/>
        <w:ind w:left="709" w:hanging="709"/>
        <w:jc w:val="both"/>
        <w:rPr>
          <w:rFonts w:asciiTheme="majorBidi" w:hAnsiTheme="majorBidi" w:cstheme="majorBidi"/>
          <w:i/>
          <w:iCs/>
          <w:color w:val="555555"/>
          <w:lang w:val="ms-MY"/>
        </w:rPr>
      </w:pPr>
    </w:p>
    <w:p w14:paraId="66EFF713" w14:textId="77777777" w:rsidR="00A857D9" w:rsidRDefault="00A857D9" w:rsidP="00E90BC9">
      <w:pPr>
        <w:spacing w:after="0" w:line="240" w:lineRule="auto"/>
        <w:ind w:left="709" w:hanging="709"/>
        <w:jc w:val="both"/>
        <w:rPr>
          <w:rFonts w:asciiTheme="majorBidi" w:hAnsiTheme="majorBidi" w:cstheme="majorBidi"/>
          <w:i/>
          <w:iCs/>
          <w:color w:val="555555"/>
          <w:lang w:val="ms-MY"/>
        </w:rPr>
      </w:pPr>
    </w:p>
    <w:p w14:paraId="097CFEA8" w14:textId="77777777" w:rsidR="00A857D9" w:rsidRDefault="00A857D9" w:rsidP="00E90BC9">
      <w:pPr>
        <w:spacing w:after="0" w:line="240" w:lineRule="auto"/>
        <w:ind w:left="709" w:hanging="709"/>
        <w:jc w:val="both"/>
        <w:rPr>
          <w:rFonts w:asciiTheme="majorBidi" w:hAnsiTheme="majorBidi" w:cstheme="majorBidi"/>
          <w:i/>
          <w:iCs/>
          <w:color w:val="555555"/>
          <w:lang w:val="ms-MY"/>
        </w:rPr>
      </w:pPr>
    </w:p>
    <w:p w14:paraId="52A40838" w14:textId="77777777" w:rsidR="00A857D9" w:rsidRDefault="00A857D9" w:rsidP="00E90BC9">
      <w:pPr>
        <w:spacing w:after="0" w:line="240" w:lineRule="auto"/>
        <w:ind w:left="709" w:hanging="709"/>
        <w:jc w:val="both"/>
        <w:rPr>
          <w:rFonts w:asciiTheme="majorBidi" w:hAnsiTheme="majorBidi" w:cstheme="majorBidi"/>
          <w:i/>
          <w:iCs/>
          <w:color w:val="555555"/>
          <w:lang w:val="ms-MY"/>
        </w:rPr>
      </w:pPr>
    </w:p>
    <w:p w14:paraId="0DFF4742" w14:textId="77777777" w:rsidR="00A857D9" w:rsidRDefault="00A857D9" w:rsidP="00E90BC9">
      <w:pPr>
        <w:spacing w:after="0" w:line="240" w:lineRule="auto"/>
        <w:ind w:left="709" w:hanging="709"/>
        <w:jc w:val="both"/>
        <w:rPr>
          <w:rFonts w:asciiTheme="majorBidi" w:hAnsiTheme="majorBidi" w:cstheme="majorBidi"/>
          <w:i/>
          <w:iCs/>
          <w:color w:val="555555"/>
          <w:lang w:val="ms-MY"/>
        </w:rPr>
      </w:pPr>
    </w:p>
    <w:p w14:paraId="4DA63760" w14:textId="4C3C5D23" w:rsidR="00A806FC" w:rsidRDefault="00A806FC" w:rsidP="00E90BC9">
      <w:pPr>
        <w:spacing w:after="0" w:line="240" w:lineRule="auto"/>
        <w:ind w:left="709" w:hanging="709"/>
        <w:jc w:val="both"/>
        <w:rPr>
          <w:rFonts w:asciiTheme="majorBidi" w:hAnsiTheme="majorBidi" w:cstheme="majorBidi"/>
          <w:color w:val="555555"/>
          <w:lang w:val="ms-MY"/>
        </w:rPr>
      </w:pPr>
      <w:r>
        <w:rPr>
          <w:rFonts w:asciiTheme="majorBidi" w:hAnsiTheme="majorBidi" w:cstheme="majorBidi"/>
          <w:color w:val="555555"/>
          <w:lang w:val="ms-MY"/>
        </w:rPr>
        <w:br w:type="page"/>
      </w:r>
    </w:p>
    <w:p w14:paraId="42CDDACF" w14:textId="77777777" w:rsidR="00106C0B" w:rsidRPr="00A806FC" w:rsidRDefault="00106C0B" w:rsidP="00E90BC9">
      <w:pPr>
        <w:spacing w:after="0" w:line="240" w:lineRule="auto"/>
        <w:ind w:left="709" w:hanging="709"/>
        <w:jc w:val="both"/>
        <w:rPr>
          <w:rFonts w:asciiTheme="majorBidi" w:hAnsiTheme="majorBidi" w:cstheme="majorBidi"/>
          <w:color w:val="555555"/>
          <w:lang w:val="ms-MY"/>
        </w:rPr>
      </w:pPr>
    </w:p>
    <w:p w14:paraId="7CA74C9E" w14:textId="77777777" w:rsidR="00106C0B" w:rsidRDefault="00106C0B" w:rsidP="00E90BC9">
      <w:pPr>
        <w:spacing w:after="0" w:line="240" w:lineRule="auto"/>
        <w:ind w:left="709" w:hanging="709"/>
        <w:jc w:val="both"/>
        <w:rPr>
          <w:rFonts w:asciiTheme="majorBidi" w:hAnsiTheme="majorBidi" w:cstheme="majorBidi"/>
          <w:color w:val="555555"/>
          <w:lang w:val="ms-MY"/>
        </w:rPr>
      </w:pPr>
      <w:r w:rsidRPr="00663CD7">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E7D2575" wp14:editId="0212EB8D">
                <wp:simplePos x="0" y="0"/>
                <wp:positionH relativeFrom="column">
                  <wp:posOffset>-590550</wp:posOffset>
                </wp:positionH>
                <wp:positionV relativeFrom="paragraph">
                  <wp:posOffset>160020</wp:posOffset>
                </wp:positionV>
                <wp:extent cx="6924675" cy="8648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924675" cy="864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9EC92B" id="Rectangle 1" o:spid="_x0000_s1026" style="position:absolute;margin-left:-46.5pt;margin-top:12.6pt;width:545.25pt;height:6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" filled="f" strokecolor="#1f4d78 [1604]" strokeweight="1pt"/>
            </w:pict>
          </mc:Fallback>
        </mc:AlternateContent>
      </w:r>
    </w:p>
    <w:p w14:paraId="39333512" w14:textId="77777777" w:rsidR="00106C0B" w:rsidRDefault="00106C0B" w:rsidP="00E90BC9">
      <w:pPr>
        <w:spacing w:after="0" w:line="240" w:lineRule="auto"/>
        <w:ind w:left="709" w:hanging="709"/>
        <w:jc w:val="both"/>
        <w:rPr>
          <w:rFonts w:asciiTheme="majorBidi" w:hAnsiTheme="majorBidi" w:cstheme="majorBidi"/>
          <w:color w:val="555555"/>
          <w:lang w:val="ms-MY"/>
        </w:rPr>
      </w:pPr>
    </w:p>
    <w:p w14:paraId="7C87CE20" w14:textId="6CC313F8" w:rsidR="00106C0B" w:rsidRPr="00DC14A0" w:rsidRDefault="00106C0B" w:rsidP="00106C0B">
      <w:pPr>
        <w:shd w:val="clear" w:color="auto" w:fill="FFC000"/>
        <w:jc w:val="center"/>
        <w:rPr>
          <w:rFonts w:ascii="Times New Roman" w:hAnsi="Times New Roman" w:cs="Times New Roman"/>
          <w:sz w:val="24"/>
          <w:szCs w:val="24"/>
        </w:rPr>
      </w:pPr>
      <w:bookmarkStart w:id="1" w:name="_Hlk117179054"/>
      <w:bookmarkStart w:id="2" w:name="_Hlk117179148"/>
      <w:r w:rsidRPr="00DC14A0">
        <w:rPr>
          <w:rFonts w:ascii="Times New Roman" w:hAnsi="Times New Roman" w:cs="Times New Roman"/>
          <w:b/>
          <w:bCs/>
          <w:sz w:val="24"/>
          <w:szCs w:val="24"/>
        </w:rPr>
        <w:t>GARIS PANDUAN PENULIS</w:t>
      </w:r>
      <w:r w:rsidR="00814A2F">
        <w:rPr>
          <w:rFonts w:ascii="Times New Roman" w:hAnsi="Times New Roman" w:cs="Times New Roman"/>
          <w:b/>
          <w:bCs/>
          <w:sz w:val="24"/>
          <w:szCs w:val="24"/>
        </w:rPr>
        <w:t xml:space="preserve"> (BAHASA MELAYU)</w:t>
      </w:r>
    </w:p>
    <w:p w14:paraId="00FB929F" w14:textId="77777777" w:rsidR="00106C0B" w:rsidRPr="00DD7B16" w:rsidRDefault="00106C0B" w:rsidP="00106C0B">
      <w:pPr>
        <w:pStyle w:val="ListParagraph"/>
      </w:pPr>
    </w:p>
    <w:p w14:paraId="51362886" w14:textId="77777777" w:rsidR="00106C0B" w:rsidRDefault="00106C0B" w:rsidP="00106C0B">
      <w:pPr>
        <w:pStyle w:val="ListParagraph"/>
        <w:numPr>
          <w:ilvl w:val="0"/>
          <w:numId w:val="10"/>
        </w:numPr>
        <w:spacing w:after="160" w:line="259" w:lineRule="auto"/>
        <w:contextualSpacing/>
      </w:pPr>
      <w:proofErr w:type="spellStart"/>
      <w:r>
        <w:t>Jenis</w:t>
      </w:r>
      <w:proofErr w:type="spellEnd"/>
      <w:r>
        <w:t xml:space="preserve"> Font</w:t>
      </w:r>
      <w:r w:rsidRPr="00663CD7">
        <w:t>: Times New Roman</w:t>
      </w:r>
    </w:p>
    <w:p w14:paraId="25BD770C" w14:textId="77777777" w:rsidR="00106C0B" w:rsidRPr="005C216A" w:rsidRDefault="00106C0B" w:rsidP="00106C0B">
      <w:pPr>
        <w:pStyle w:val="ListParagraph"/>
        <w:numPr>
          <w:ilvl w:val="0"/>
          <w:numId w:val="10"/>
        </w:numPr>
        <w:spacing w:after="160" w:line="259" w:lineRule="auto"/>
        <w:contextualSpacing/>
        <w:rPr>
          <w:lang w:val="sv-SE"/>
        </w:rPr>
      </w:pPr>
      <w:r w:rsidRPr="005C216A">
        <w:rPr>
          <w:lang w:val="sv-SE"/>
        </w:rPr>
        <w:t>Kata kunci dalam kertas kerja: 2-4 patah perkataan;</w:t>
      </w:r>
    </w:p>
    <w:p w14:paraId="708CBD15" w14:textId="77777777" w:rsidR="00106C0B" w:rsidRPr="005C216A" w:rsidRDefault="00106C0B" w:rsidP="00106C0B">
      <w:pPr>
        <w:pStyle w:val="ListParagraph"/>
        <w:numPr>
          <w:ilvl w:val="0"/>
          <w:numId w:val="10"/>
        </w:numPr>
        <w:spacing w:after="160" w:line="259" w:lineRule="auto"/>
        <w:contextualSpacing/>
        <w:rPr>
          <w:lang w:val="sv-SE"/>
        </w:rPr>
      </w:pPr>
      <w:r w:rsidRPr="005C216A">
        <w:rPr>
          <w:lang w:val="sv-SE"/>
        </w:rPr>
        <w:t>Istilah penuh bagi singkatan atau akronim hendaklah mendahului penggunaan pertama melainkan ia adalah penggunaan standard atau unit ukuran.</w:t>
      </w:r>
    </w:p>
    <w:p w14:paraId="06A65468" w14:textId="28AA0F1E" w:rsidR="00814A2F" w:rsidRDefault="00814A2F" w:rsidP="00106C0B">
      <w:pPr>
        <w:pStyle w:val="ListParagraph"/>
        <w:numPr>
          <w:ilvl w:val="0"/>
          <w:numId w:val="10"/>
        </w:numPr>
        <w:spacing w:after="160" w:line="259" w:lineRule="auto"/>
        <w:contextualSpacing/>
        <w:rPr>
          <w:lang w:val="sv-SE"/>
        </w:rPr>
      </w:pPr>
      <w:r w:rsidRPr="00814A2F">
        <w:rPr>
          <w:lang w:val="sv-SE"/>
        </w:rPr>
        <w:t xml:space="preserve">Panjang abstrak hendaklah tidak melebihi 250 perkataan </w:t>
      </w:r>
    </w:p>
    <w:p w14:paraId="623EB188" w14:textId="10FAF56F" w:rsidR="00106C0B" w:rsidRPr="005C216A" w:rsidRDefault="00106C0B" w:rsidP="00106C0B">
      <w:pPr>
        <w:pStyle w:val="ListParagraph"/>
        <w:numPr>
          <w:ilvl w:val="0"/>
          <w:numId w:val="10"/>
        </w:numPr>
        <w:spacing w:after="160" w:line="259" w:lineRule="auto"/>
        <w:contextualSpacing/>
        <w:rPr>
          <w:lang w:val="sv-SE"/>
        </w:rPr>
      </w:pPr>
      <w:r w:rsidRPr="005C216A">
        <w:rPr>
          <w:lang w:val="sv-SE"/>
        </w:rPr>
        <w:t>Kertas kerja hendaklah mengikut tatabahasa yang betul.</w:t>
      </w:r>
    </w:p>
    <w:p w14:paraId="1A2DA59F" w14:textId="77777777" w:rsidR="00106C0B" w:rsidRPr="005C216A" w:rsidRDefault="00106C0B" w:rsidP="00D90A59">
      <w:pPr>
        <w:pStyle w:val="ListParagraph"/>
        <w:numPr>
          <w:ilvl w:val="0"/>
          <w:numId w:val="10"/>
        </w:numPr>
        <w:spacing w:after="160" w:line="259" w:lineRule="auto"/>
        <w:contextualSpacing/>
        <w:rPr>
          <w:lang w:val="sv-SE"/>
        </w:rPr>
      </w:pPr>
      <w:r w:rsidRPr="005C216A">
        <w:rPr>
          <w:lang w:val="sv-SE"/>
        </w:rPr>
        <w:t xml:space="preserve">Kertas kerja mestilah tidak ditulis melebihi </w:t>
      </w:r>
      <w:r w:rsidR="00D90A59" w:rsidRPr="005C216A">
        <w:rPr>
          <w:lang w:val="sv-SE"/>
        </w:rPr>
        <w:t>4</w:t>
      </w:r>
      <w:r w:rsidRPr="005C216A">
        <w:rPr>
          <w:lang w:val="sv-SE"/>
        </w:rPr>
        <w:t>,500 patah pe</w:t>
      </w:r>
      <w:r w:rsidR="00D90A59" w:rsidRPr="005C216A">
        <w:rPr>
          <w:lang w:val="sv-SE"/>
        </w:rPr>
        <w:t xml:space="preserve">rkataan/12 muka surat. </w:t>
      </w:r>
    </w:p>
    <w:p w14:paraId="643777DC" w14:textId="77777777" w:rsidR="00106C0B" w:rsidRPr="00D600DF" w:rsidRDefault="00106C0B" w:rsidP="00106C0B">
      <w:pPr>
        <w:rPr>
          <w:rFonts w:ascii="Times New Roman" w:hAnsi="Times New Roman" w:cs="Times New Roman"/>
          <w:b/>
          <w:bCs/>
          <w:sz w:val="24"/>
          <w:szCs w:val="24"/>
        </w:rPr>
      </w:pPr>
      <w:r w:rsidRPr="00D600DF">
        <w:rPr>
          <w:rFonts w:ascii="Times New Roman" w:hAnsi="Times New Roman" w:cs="Times New Roman"/>
          <w:b/>
          <w:bCs/>
          <w:sz w:val="24"/>
          <w:szCs w:val="24"/>
        </w:rPr>
        <w:t xml:space="preserve">Layout </w:t>
      </w:r>
      <w:r w:rsidRPr="00663CD7">
        <w:rPr>
          <w:rFonts w:ascii="Times New Roman" w:hAnsi="Times New Roman" w:cs="Times New Roman"/>
          <w:b/>
          <w:bCs/>
          <w:sz w:val="24"/>
          <w:szCs w:val="24"/>
        </w:rPr>
        <w:t>(Font)</w:t>
      </w:r>
    </w:p>
    <w:p w14:paraId="3EFE2E7B" w14:textId="77777777" w:rsidR="00106C0B" w:rsidRPr="00663CD7" w:rsidRDefault="00106C0B" w:rsidP="00106C0B">
      <w:pPr>
        <w:pStyle w:val="ListParagraph"/>
      </w:pPr>
      <w:proofErr w:type="spellStart"/>
      <w:r>
        <w:t>Saiz</w:t>
      </w:r>
      <w:proofErr w:type="spellEnd"/>
      <w:r>
        <w:t xml:space="preserve"> font</w:t>
      </w:r>
      <w:r w:rsidRPr="00663CD7">
        <w:tab/>
      </w:r>
      <w:r w:rsidRPr="00663CD7">
        <w:tab/>
      </w:r>
    </w:p>
    <w:p w14:paraId="3849EC51" w14:textId="3B1B07DD" w:rsidR="00106C0B" w:rsidRPr="00663CD7" w:rsidRDefault="00106C0B" w:rsidP="00106C0B">
      <w:pPr>
        <w:pStyle w:val="ListParagraph"/>
        <w:numPr>
          <w:ilvl w:val="0"/>
          <w:numId w:val="12"/>
        </w:numPr>
        <w:spacing w:after="160" w:line="259" w:lineRule="auto"/>
        <w:contextualSpacing/>
      </w:pPr>
      <w:proofErr w:type="spellStart"/>
      <w:r>
        <w:t>Tajuk</w:t>
      </w:r>
      <w:proofErr w:type="spellEnd"/>
      <w:r w:rsidRPr="00663CD7">
        <w:tab/>
      </w:r>
      <w:r w:rsidRPr="00663CD7">
        <w:tab/>
      </w:r>
      <w:r w:rsidRPr="00663CD7">
        <w:tab/>
      </w:r>
      <w:r w:rsidRPr="00663CD7">
        <w:tab/>
      </w:r>
      <w:r w:rsidRPr="00663CD7">
        <w:tab/>
      </w:r>
      <w:r w:rsidRPr="00663CD7">
        <w:tab/>
        <w:t>: 1</w:t>
      </w:r>
      <w:r w:rsidR="00A857D9">
        <w:t>2</w:t>
      </w:r>
      <w:r w:rsidRPr="00663CD7">
        <w:t xml:space="preserve"> </w:t>
      </w:r>
      <w:proofErr w:type="gramStart"/>
      <w:r w:rsidRPr="00663CD7">
        <w:t>point</w:t>
      </w:r>
      <w:proofErr w:type="gramEnd"/>
    </w:p>
    <w:p w14:paraId="06FBABC8" w14:textId="55EE6CAD" w:rsidR="00106C0B" w:rsidRPr="00663CD7" w:rsidRDefault="00106C0B" w:rsidP="00106C0B">
      <w:pPr>
        <w:pStyle w:val="ListParagraph"/>
        <w:numPr>
          <w:ilvl w:val="0"/>
          <w:numId w:val="11"/>
        </w:numPr>
        <w:spacing w:after="160" w:line="259" w:lineRule="auto"/>
        <w:contextualSpacing/>
      </w:pPr>
      <w:proofErr w:type="spellStart"/>
      <w:r>
        <w:t>Senarai</w:t>
      </w:r>
      <w:proofErr w:type="spellEnd"/>
      <w:r>
        <w:t xml:space="preserve"> </w:t>
      </w:r>
      <w:proofErr w:type="spellStart"/>
      <w:r>
        <w:t>penulis</w:t>
      </w:r>
      <w:proofErr w:type="spellEnd"/>
      <w:r w:rsidRPr="00663CD7">
        <w:tab/>
      </w:r>
      <w:r w:rsidRPr="00663CD7">
        <w:tab/>
      </w:r>
      <w:r w:rsidRPr="00663CD7">
        <w:tab/>
      </w:r>
      <w:r w:rsidRPr="00663CD7">
        <w:tab/>
        <w:t xml:space="preserve">: </w:t>
      </w:r>
      <w:r w:rsidR="00A857D9">
        <w:t>10</w:t>
      </w:r>
      <w:r w:rsidRPr="00663CD7">
        <w:t xml:space="preserve"> </w:t>
      </w:r>
      <w:proofErr w:type="gramStart"/>
      <w:r w:rsidRPr="00663CD7">
        <w:t>point</w:t>
      </w:r>
      <w:proofErr w:type="gramEnd"/>
    </w:p>
    <w:p w14:paraId="7FF9CEA6" w14:textId="66A7052F" w:rsidR="00106C0B" w:rsidRPr="00663CD7" w:rsidRDefault="00106C0B" w:rsidP="00106C0B">
      <w:pPr>
        <w:pStyle w:val="ListParagraph"/>
        <w:numPr>
          <w:ilvl w:val="0"/>
          <w:numId w:val="11"/>
        </w:numPr>
        <w:spacing w:after="160" w:line="259" w:lineRule="auto"/>
        <w:contextualSpacing/>
      </w:pPr>
      <w:proofErr w:type="spellStart"/>
      <w:r>
        <w:t>Afilansi</w:t>
      </w:r>
      <w:proofErr w:type="spellEnd"/>
      <w:r w:rsidRPr="00663CD7">
        <w:tab/>
      </w:r>
      <w:r w:rsidRPr="00663CD7">
        <w:tab/>
      </w:r>
      <w:r w:rsidRPr="00663CD7">
        <w:tab/>
      </w:r>
      <w:r w:rsidRPr="00663CD7">
        <w:tab/>
      </w:r>
      <w:r w:rsidRPr="00663CD7">
        <w:tab/>
        <w:t xml:space="preserve">: </w:t>
      </w:r>
      <w:r w:rsidR="00A857D9">
        <w:t>10</w:t>
      </w:r>
      <w:r w:rsidRPr="00663CD7">
        <w:t xml:space="preserve"> </w:t>
      </w:r>
      <w:proofErr w:type="gramStart"/>
      <w:r w:rsidRPr="00663CD7">
        <w:t>point</w:t>
      </w:r>
      <w:proofErr w:type="gramEnd"/>
    </w:p>
    <w:p w14:paraId="2D79C2F2" w14:textId="3ED1CB1C" w:rsidR="00106C0B" w:rsidRPr="00663CD7" w:rsidRDefault="00106C0B" w:rsidP="00106C0B">
      <w:pPr>
        <w:pStyle w:val="ListParagraph"/>
        <w:numPr>
          <w:ilvl w:val="0"/>
          <w:numId w:val="11"/>
        </w:numPr>
        <w:spacing w:after="160" w:line="259" w:lineRule="auto"/>
        <w:contextualSpacing/>
      </w:pPr>
      <w:r>
        <w:t xml:space="preserve">Email </w:t>
      </w:r>
      <w:proofErr w:type="spellStart"/>
      <w:r>
        <w:t>penulis</w:t>
      </w:r>
      <w:proofErr w:type="spellEnd"/>
      <w:r>
        <w:t xml:space="preserve"> </w:t>
      </w:r>
      <w:proofErr w:type="spellStart"/>
      <w:r>
        <w:t>untuk</w:t>
      </w:r>
      <w:proofErr w:type="spellEnd"/>
      <w:r>
        <w:t xml:space="preserve"> </w:t>
      </w:r>
      <w:proofErr w:type="spellStart"/>
      <w:r>
        <w:t>dihubungi</w:t>
      </w:r>
      <w:proofErr w:type="spellEnd"/>
      <w:r>
        <w:tab/>
      </w:r>
      <w:r w:rsidRPr="00663CD7">
        <w:tab/>
        <w:t xml:space="preserve">: </w:t>
      </w:r>
      <w:r w:rsidR="00A857D9">
        <w:t>10</w:t>
      </w:r>
      <w:r w:rsidRPr="00663CD7">
        <w:t xml:space="preserve"> </w:t>
      </w:r>
      <w:proofErr w:type="gramStart"/>
      <w:r w:rsidRPr="00663CD7">
        <w:t>point</w:t>
      </w:r>
      <w:proofErr w:type="gramEnd"/>
    </w:p>
    <w:p w14:paraId="33389582" w14:textId="3B7A1F3F" w:rsidR="00106C0B" w:rsidRPr="00814A2F" w:rsidRDefault="00106C0B" w:rsidP="00106C0B">
      <w:pPr>
        <w:pStyle w:val="ListParagraph"/>
        <w:numPr>
          <w:ilvl w:val="0"/>
          <w:numId w:val="11"/>
        </w:numPr>
        <w:spacing w:after="160" w:line="259" w:lineRule="auto"/>
        <w:contextualSpacing/>
        <w:rPr>
          <w:lang w:val="sv-SE"/>
        </w:rPr>
      </w:pPr>
      <w:r w:rsidRPr="00814A2F">
        <w:rPr>
          <w:lang w:val="sv-SE"/>
        </w:rPr>
        <w:t>Teks utama</w:t>
      </w:r>
      <w:r w:rsidRPr="00814A2F">
        <w:rPr>
          <w:lang w:val="sv-SE"/>
        </w:rPr>
        <w:tab/>
      </w:r>
      <w:r w:rsidRPr="00814A2F">
        <w:rPr>
          <w:lang w:val="sv-SE"/>
        </w:rPr>
        <w:tab/>
      </w:r>
      <w:r w:rsidRPr="00814A2F">
        <w:rPr>
          <w:lang w:val="sv-SE"/>
        </w:rPr>
        <w:tab/>
      </w:r>
      <w:r w:rsidRPr="00814A2F">
        <w:rPr>
          <w:lang w:val="sv-SE"/>
        </w:rPr>
        <w:tab/>
      </w:r>
      <w:r w:rsidRPr="00814A2F">
        <w:rPr>
          <w:lang w:val="sv-SE"/>
        </w:rPr>
        <w:tab/>
        <w:t>: 1</w:t>
      </w:r>
      <w:r w:rsidR="00A857D9" w:rsidRPr="00814A2F">
        <w:rPr>
          <w:lang w:val="sv-SE"/>
        </w:rPr>
        <w:t>2</w:t>
      </w:r>
      <w:r w:rsidRPr="00814A2F">
        <w:rPr>
          <w:lang w:val="sv-SE"/>
        </w:rPr>
        <w:t xml:space="preserve"> point</w:t>
      </w:r>
      <w:r w:rsidR="00814A2F" w:rsidRPr="00814A2F">
        <w:rPr>
          <w:lang w:val="sv-SE"/>
        </w:rPr>
        <w:t xml:space="preserve"> dengan s</w:t>
      </w:r>
      <w:r w:rsidR="00814A2F">
        <w:rPr>
          <w:lang w:val="sv-SE"/>
        </w:rPr>
        <w:t>pacing 1.5</w:t>
      </w:r>
    </w:p>
    <w:p w14:paraId="1CCC5CAB" w14:textId="77777777" w:rsidR="00106C0B" w:rsidRPr="00814A2F" w:rsidRDefault="00106C0B" w:rsidP="00106C0B">
      <w:pPr>
        <w:rPr>
          <w:rFonts w:ascii="Times New Roman" w:hAnsi="Times New Roman" w:cs="Times New Roman"/>
          <w:sz w:val="24"/>
          <w:szCs w:val="24"/>
          <w:lang w:val="sv-SE"/>
        </w:rPr>
      </w:pPr>
    </w:p>
    <w:p w14:paraId="670BC7B0" w14:textId="77777777" w:rsidR="00106C0B" w:rsidRPr="00663CD7" w:rsidRDefault="00106C0B" w:rsidP="00106C0B">
      <w:pPr>
        <w:rPr>
          <w:rFonts w:ascii="Times New Roman" w:hAnsi="Times New Roman" w:cs="Times New Roman"/>
          <w:b/>
          <w:bCs/>
          <w:sz w:val="24"/>
          <w:szCs w:val="24"/>
        </w:rPr>
      </w:pPr>
      <w:proofErr w:type="spellStart"/>
      <w:r>
        <w:rPr>
          <w:rFonts w:ascii="Times New Roman" w:hAnsi="Times New Roman" w:cs="Times New Roman"/>
          <w:b/>
          <w:bCs/>
          <w:sz w:val="24"/>
          <w:szCs w:val="24"/>
        </w:rPr>
        <w:t>Rujukan</w:t>
      </w:r>
      <w:proofErr w:type="spellEnd"/>
    </w:p>
    <w:p w14:paraId="49F89449" w14:textId="77777777" w:rsidR="00106C0B" w:rsidRDefault="00D90A59" w:rsidP="00106C0B">
      <w:pPr>
        <w:rPr>
          <w:rFonts w:asciiTheme="majorBidi" w:hAnsiTheme="majorBidi" w:cstheme="majorBidi"/>
          <w:sz w:val="24"/>
          <w:szCs w:val="24"/>
        </w:rPr>
      </w:pPr>
      <w:r>
        <w:rPr>
          <w:rFonts w:asciiTheme="majorBidi" w:hAnsiTheme="majorBidi" w:cstheme="majorBidi"/>
          <w:sz w:val="24"/>
          <w:szCs w:val="24"/>
        </w:rPr>
        <w:t>APA 6</w:t>
      </w:r>
      <w:r w:rsidR="00106C0B" w:rsidRPr="00D90A59">
        <w:rPr>
          <w:rFonts w:asciiTheme="majorBidi" w:hAnsiTheme="majorBidi" w:cstheme="majorBidi"/>
          <w:sz w:val="24"/>
          <w:szCs w:val="24"/>
          <w:vertAlign w:val="superscript"/>
        </w:rPr>
        <w:t>th</w:t>
      </w:r>
      <w:r w:rsidR="00106C0B" w:rsidRPr="00663CD7">
        <w:rPr>
          <w:rFonts w:asciiTheme="majorBidi" w:hAnsiTheme="majorBidi" w:cstheme="majorBidi"/>
          <w:sz w:val="24"/>
          <w:szCs w:val="24"/>
        </w:rPr>
        <w:t xml:space="preserve"> Edition, Single Spacing</w:t>
      </w:r>
    </w:p>
    <w:bookmarkEnd w:id="1"/>
    <w:bookmarkEnd w:id="2"/>
    <w:p w14:paraId="605D9D31" w14:textId="77777777" w:rsidR="00106C0B" w:rsidRDefault="00106C0B" w:rsidP="00106C0B">
      <w:pPr>
        <w:rPr>
          <w:rFonts w:ascii="Times New Roman" w:hAnsi="Times New Roman" w:cs="Times New Roman"/>
          <w:sz w:val="24"/>
          <w:szCs w:val="24"/>
        </w:rPr>
      </w:pPr>
    </w:p>
    <w:p w14:paraId="0264577E" w14:textId="77777777" w:rsidR="00106C0B" w:rsidRPr="00106C0B" w:rsidRDefault="00106C0B" w:rsidP="00E90BC9">
      <w:pPr>
        <w:spacing w:after="0" w:line="240" w:lineRule="auto"/>
        <w:ind w:left="709" w:hanging="709"/>
        <w:jc w:val="both"/>
        <w:rPr>
          <w:rFonts w:asciiTheme="majorBidi" w:eastAsia="Times New Roman" w:hAnsiTheme="majorBidi" w:cstheme="majorBidi"/>
          <w:lang w:val="ms-MY"/>
        </w:rPr>
      </w:pPr>
    </w:p>
    <w:sectPr w:rsidR="00106C0B" w:rsidRPr="00106C0B" w:rsidSect="0040157D">
      <w:headerReference w:type="even" r:id="rId7"/>
      <w:headerReference w:type="default" r:id="rId8"/>
      <w:headerReference w:type="first" r:id="rId9"/>
      <w:pgSz w:w="11906" w:h="16838" w:code="9"/>
      <w:pgMar w:top="1206"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5A8A" w14:textId="77777777" w:rsidR="00481BA5" w:rsidRDefault="00481BA5" w:rsidP="00971D50">
      <w:pPr>
        <w:spacing w:after="0" w:line="240" w:lineRule="auto"/>
      </w:pPr>
      <w:r>
        <w:separator/>
      </w:r>
    </w:p>
  </w:endnote>
  <w:endnote w:type="continuationSeparator" w:id="0">
    <w:p w14:paraId="6A1E4855" w14:textId="77777777" w:rsidR="00481BA5" w:rsidRDefault="00481BA5" w:rsidP="0097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9C3E" w14:textId="77777777" w:rsidR="00481BA5" w:rsidRDefault="00481BA5" w:rsidP="00971D50">
      <w:pPr>
        <w:spacing w:after="0" w:line="240" w:lineRule="auto"/>
      </w:pPr>
      <w:r>
        <w:separator/>
      </w:r>
    </w:p>
  </w:footnote>
  <w:footnote w:type="continuationSeparator" w:id="0">
    <w:p w14:paraId="703F39A9" w14:textId="77777777" w:rsidR="00481BA5" w:rsidRDefault="00481BA5" w:rsidP="00971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95F0" w14:textId="682E939E" w:rsidR="00A857D9" w:rsidRDefault="00A857D9" w:rsidP="00A857D9">
    <w:pPr>
      <w:pStyle w:val="Header"/>
      <w:tabs>
        <w:tab w:val="clear" w:pos="9026"/>
        <w:tab w:val="left" w:pos="3150"/>
        <w:tab w:val="right" w:pos="5760"/>
      </w:tabs>
      <w:jc w:val="right"/>
      <w:rPr>
        <w:b/>
        <w:bCs/>
        <w:sz w:val="18"/>
        <w:szCs w:val="18"/>
      </w:rPr>
    </w:pPr>
    <w:r w:rsidRPr="005C216A">
      <w:rPr>
        <w:b/>
        <w:bCs/>
        <w:sz w:val="18"/>
        <w:szCs w:val="18"/>
      </w:rPr>
      <w:t xml:space="preserve">5th </w:t>
    </w:r>
    <w:r>
      <w:rPr>
        <w:b/>
        <w:bCs/>
        <w:sz w:val="18"/>
        <w:szCs w:val="18"/>
      </w:rPr>
      <w:t>INPAC</w:t>
    </w:r>
    <w:r w:rsidRPr="005C216A">
      <w:rPr>
        <w:b/>
        <w:bCs/>
        <w:sz w:val="18"/>
        <w:szCs w:val="18"/>
      </w:rPr>
      <w:t xml:space="preserve"> 2025 </w:t>
    </w:r>
  </w:p>
  <w:p w14:paraId="26121173" w14:textId="6A3751B8" w:rsidR="00620F13" w:rsidRPr="00A857D9" w:rsidRDefault="00A857D9" w:rsidP="00A857D9">
    <w:pPr>
      <w:pStyle w:val="Header"/>
      <w:tabs>
        <w:tab w:val="clear" w:pos="4513"/>
        <w:tab w:val="clear" w:pos="9026"/>
        <w:tab w:val="right" w:pos="5760"/>
      </w:tabs>
      <w:jc w:val="right"/>
      <w:rPr>
        <w:sz w:val="18"/>
        <w:szCs w:val="18"/>
      </w:rPr>
    </w:pPr>
    <w:r w:rsidRPr="005C216A">
      <w:rPr>
        <w:sz w:val="18"/>
        <w:szCs w:val="18"/>
      </w:rPr>
      <w:t xml:space="preserve">“Advancing Malaysia </w:t>
    </w:r>
    <w:r w:rsidR="00A806FC" w:rsidRPr="005C216A">
      <w:rPr>
        <w:sz w:val="18"/>
        <w:szCs w:val="18"/>
      </w:rPr>
      <w:t>MADANI</w:t>
    </w:r>
    <w:r w:rsidRPr="005C216A">
      <w:rPr>
        <w:sz w:val="18"/>
        <w:szCs w:val="18"/>
      </w:rPr>
      <w:t xml:space="preserve"> Through Shariah and Legal Research”</w:t>
    </w:r>
  </w:p>
  <w:p w14:paraId="1D26E731" w14:textId="77777777" w:rsidR="00A857D9" w:rsidRPr="00A36B41" w:rsidRDefault="00A857D9" w:rsidP="00A36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9F34" w14:textId="518725E3" w:rsidR="008B22BF" w:rsidRPr="008B22BF" w:rsidRDefault="00A857D9" w:rsidP="00A857D9">
    <w:pPr>
      <w:pStyle w:val="Header"/>
      <w:jc w:val="right"/>
      <w:rPr>
        <w:rFonts w:asciiTheme="minorBidi" w:hAnsiTheme="minorBidi"/>
        <w:sz w:val="14"/>
        <w:szCs w:val="14"/>
        <w:lang w:val="ms-MY"/>
      </w:rPr>
    </w:pPr>
    <w:r>
      <w:rPr>
        <w:rFonts w:asciiTheme="minorBidi" w:eastAsia="Calibri" w:hAnsiTheme="minorBidi"/>
        <w:b/>
        <w:bCs/>
        <w:color w:val="000000"/>
        <w:sz w:val="16"/>
        <w:szCs w:val="16"/>
        <w:shd w:val="clear" w:color="auto" w:fill="FFFFFF"/>
        <w:lang w:val="ms-MY"/>
      </w:rPr>
      <w:t>TAJUK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5CB8" w14:textId="388540BF" w:rsidR="005C216A" w:rsidRDefault="005C216A" w:rsidP="00D90A59">
    <w:pPr>
      <w:pStyle w:val="Header"/>
      <w:tabs>
        <w:tab w:val="clear" w:pos="9026"/>
        <w:tab w:val="left" w:pos="3150"/>
        <w:tab w:val="right" w:pos="5760"/>
      </w:tabs>
      <w:jc w:val="center"/>
      <w:rPr>
        <w:b/>
        <w:bCs/>
        <w:sz w:val="18"/>
        <w:szCs w:val="18"/>
      </w:rPr>
    </w:pPr>
    <w:r w:rsidRPr="005C216A">
      <w:rPr>
        <w:b/>
        <w:bCs/>
        <w:sz w:val="18"/>
        <w:szCs w:val="18"/>
      </w:rPr>
      <w:t xml:space="preserve">5th International </w:t>
    </w:r>
    <w:proofErr w:type="spellStart"/>
    <w:r w:rsidRPr="005C216A">
      <w:rPr>
        <w:b/>
        <w:bCs/>
        <w:sz w:val="18"/>
        <w:szCs w:val="18"/>
      </w:rPr>
      <w:t>Conferenence</w:t>
    </w:r>
    <w:proofErr w:type="spellEnd"/>
    <w:r w:rsidRPr="005C216A">
      <w:rPr>
        <w:b/>
        <w:bCs/>
        <w:sz w:val="18"/>
        <w:szCs w:val="18"/>
      </w:rPr>
      <w:t xml:space="preserve"> of Postgraduate </w:t>
    </w:r>
    <w:proofErr w:type="spellStart"/>
    <w:r w:rsidRPr="005C216A">
      <w:rPr>
        <w:b/>
        <w:bCs/>
        <w:sz w:val="18"/>
        <w:szCs w:val="18"/>
      </w:rPr>
      <w:t>Studends</w:t>
    </w:r>
    <w:proofErr w:type="spellEnd"/>
    <w:r w:rsidRPr="005C216A">
      <w:rPr>
        <w:b/>
        <w:bCs/>
        <w:sz w:val="18"/>
        <w:szCs w:val="18"/>
      </w:rPr>
      <w:t xml:space="preserve"> &amp; Academics in Syariah and Law 2025 </w:t>
    </w:r>
  </w:p>
  <w:p w14:paraId="089F8801" w14:textId="2821D1D2" w:rsidR="00A758F5" w:rsidRDefault="005C216A" w:rsidP="005C216A">
    <w:pPr>
      <w:pStyle w:val="Header"/>
      <w:pBdr>
        <w:bottom w:val="single" w:sz="12" w:space="1" w:color="auto"/>
      </w:pBdr>
      <w:tabs>
        <w:tab w:val="clear" w:pos="4513"/>
        <w:tab w:val="clear" w:pos="9026"/>
        <w:tab w:val="right" w:pos="5760"/>
      </w:tabs>
      <w:jc w:val="center"/>
      <w:rPr>
        <w:sz w:val="18"/>
        <w:szCs w:val="18"/>
      </w:rPr>
    </w:pPr>
    <w:r w:rsidRPr="005C216A">
      <w:rPr>
        <w:sz w:val="18"/>
        <w:szCs w:val="18"/>
      </w:rPr>
      <w:t xml:space="preserve">“Advancing Malaysia </w:t>
    </w:r>
    <w:r w:rsidR="00A806FC" w:rsidRPr="005C216A">
      <w:rPr>
        <w:sz w:val="18"/>
        <w:szCs w:val="18"/>
      </w:rPr>
      <w:t xml:space="preserve">MADANI </w:t>
    </w:r>
    <w:r w:rsidRPr="005C216A">
      <w:rPr>
        <w:sz w:val="18"/>
        <w:szCs w:val="18"/>
      </w:rPr>
      <w:t>Through Shariah and Legal Research”</w:t>
    </w:r>
  </w:p>
  <w:p w14:paraId="2C01B14C" w14:textId="77777777" w:rsidR="00A806FC" w:rsidRPr="00746C66" w:rsidRDefault="00A806FC" w:rsidP="005C216A">
    <w:pPr>
      <w:pStyle w:val="Header"/>
      <w:tabs>
        <w:tab w:val="clear" w:pos="4513"/>
        <w:tab w:val="clear" w:pos="9026"/>
        <w:tab w:val="right" w:pos="5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3B13"/>
    <w:multiLevelType w:val="hybridMultilevel"/>
    <w:tmpl w:val="5E2EA5EC"/>
    <w:lvl w:ilvl="0" w:tplc="9664F2A6">
      <w:start w:val="1"/>
      <w:numFmt w:val="lowerLetter"/>
      <w:lvlText w:val="%1)"/>
      <w:lvlJc w:val="left"/>
      <w:pPr>
        <w:ind w:left="720" w:hanging="360"/>
      </w:pPr>
      <w:rPr>
        <w:rFonts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8A4EAE"/>
    <w:multiLevelType w:val="hybridMultilevel"/>
    <w:tmpl w:val="49B05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95D1A"/>
    <w:multiLevelType w:val="hybridMultilevel"/>
    <w:tmpl w:val="F33E3E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52F4224"/>
    <w:multiLevelType w:val="hybridMultilevel"/>
    <w:tmpl w:val="62C6CB52"/>
    <w:lvl w:ilvl="0" w:tplc="15363B96">
      <w:numFmt w:val="bullet"/>
      <w:lvlText w:val=""/>
      <w:lvlJc w:val="left"/>
      <w:pPr>
        <w:ind w:left="1068" w:hanging="360"/>
      </w:pPr>
      <w:rPr>
        <w:rFonts w:ascii="Symbol" w:eastAsiaTheme="minorHAnsi" w:hAnsi="Symbol" w:cstheme="minorBidi" w:hint="default"/>
      </w:rPr>
    </w:lvl>
    <w:lvl w:ilvl="1" w:tplc="043E0003" w:tentative="1">
      <w:start w:val="1"/>
      <w:numFmt w:val="bullet"/>
      <w:lvlText w:val="o"/>
      <w:lvlJc w:val="left"/>
      <w:pPr>
        <w:ind w:left="1788" w:hanging="360"/>
      </w:pPr>
      <w:rPr>
        <w:rFonts w:ascii="Courier New" w:hAnsi="Courier New" w:cs="Courier New" w:hint="default"/>
      </w:rPr>
    </w:lvl>
    <w:lvl w:ilvl="2" w:tplc="043E0005" w:tentative="1">
      <w:start w:val="1"/>
      <w:numFmt w:val="bullet"/>
      <w:lvlText w:val=""/>
      <w:lvlJc w:val="left"/>
      <w:pPr>
        <w:ind w:left="2508" w:hanging="360"/>
      </w:pPr>
      <w:rPr>
        <w:rFonts w:ascii="Wingdings" w:hAnsi="Wingdings" w:hint="default"/>
      </w:rPr>
    </w:lvl>
    <w:lvl w:ilvl="3" w:tplc="043E0001" w:tentative="1">
      <w:start w:val="1"/>
      <w:numFmt w:val="bullet"/>
      <w:lvlText w:val=""/>
      <w:lvlJc w:val="left"/>
      <w:pPr>
        <w:ind w:left="3228" w:hanging="360"/>
      </w:pPr>
      <w:rPr>
        <w:rFonts w:ascii="Symbol" w:hAnsi="Symbol" w:hint="default"/>
      </w:rPr>
    </w:lvl>
    <w:lvl w:ilvl="4" w:tplc="043E0003" w:tentative="1">
      <w:start w:val="1"/>
      <w:numFmt w:val="bullet"/>
      <w:lvlText w:val="o"/>
      <w:lvlJc w:val="left"/>
      <w:pPr>
        <w:ind w:left="3948" w:hanging="360"/>
      </w:pPr>
      <w:rPr>
        <w:rFonts w:ascii="Courier New" w:hAnsi="Courier New" w:cs="Courier New" w:hint="default"/>
      </w:rPr>
    </w:lvl>
    <w:lvl w:ilvl="5" w:tplc="043E0005" w:tentative="1">
      <w:start w:val="1"/>
      <w:numFmt w:val="bullet"/>
      <w:lvlText w:val=""/>
      <w:lvlJc w:val="left"/>
      <w:pPr>
        <w:ind w:left="4668" w:hanging="360"/>
      </w:pPr>
      <w:rPr>
        <w:rFonts w:ascii="Wingdings" w:hAnsi="Wingdings" w:hint="default"/>
      </w:rPr>
    </w:lvl>
    <w:lvl w:ilvl="6" w:tplc="043E0001" w:tentative="1">
      <w:start w:val="1"/>
      <w:numFmt w:val="bullet"/>
      <w:lvlText w:val=""/>
      <w:lvlJc w:val="left"/>
      <w:pPr>
        <w:ind w:left="5388" w:hanging="360"/>
      </w:pPr>
      <w:rPr>
        <w:rFonts w:ascii="Symbol" w:hAnsi="Symbol" w:hint="default"/>
      </w:rPr>
    </w:lvl>
    <w:lvl w:ilvl="7" w:tplc="043E0003" w:tentative="1">
      <w:start w:val="1"/>
      <w:numFmt w:val="bullet"/>
      <w:lvlText w:val="o"/>
      <w:lvlJc w:val="left"/>
      <w:pPr>
        <w:ind w:left="6108" w:hanging="360"/>
      </w:pPr>
      <w:rPr>
        <w:rFonts w:ascii="Courier New" w:hAnsi="Courier New" w:cs="Courier New" w:hint="default"/>
      </w:rPr>
    </w:lvl>
    <w:lvl w:ilvl="8" w:tplc="043E0005" w:tentative="1">
      <w:start w:val="1"/>
      <w:numFmt w:val="bullet"/>
      <w:lvlText w:val=""/>
      <w:lvlJc w:val="left"/>
      <w:pPr>
        <w:ind w:left="6828" w:hanging="360"/>
      </w:pPr>
      <w:rPr>
        <w:rFonts w:ascii="Wingdings" w:hAnsi="Wingdings" w:hint="default"/>
      </w:rPr>
    </w:lvl>
  </w:abstractNum>
  <w:abstractNum w:abstractNumId="4" w15:restartNumberingAfterBreak="0">
    <w:nsid w:val="2D2D5534"/>
    <w:multiLevelType w:val="hybridMultilevel"/>
    <w:tmpl w:val="F1F4B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1F2ADE"/>
    <w:multiLevelType w:val="hybridMultilevel"/>
    <w:tmpl w:val="6274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E3476"/>
    <w:multiLevelType w:val="hybridMultilevel"/>
    <w:tmpl w:val="75D634EC"/>
    <w:lvl w:ilvl="0" w:tplc="9664F2A6">
      <w:start w:val="1"/>
      <w:numFmt w:val="lowerLetter"/>
      <w:lvlText w:val="%1)"/>
      <w:lvlJc w:val="left"/>
      <w:pPr>
        <w:ind w:left="720" w:hanging="360"/>
      </w:pPr>
      <w:rPr>
        <w:rFonts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0592DED"/>
    <w:multiLevelType w:val="hybridMultilevel"/>
    <w:tmpl w:val="D7542F30"/>
    <w:lvl w:ilvl="0" w:tplc="0888924C">
      <w:start w:val="1"/>
      <w:numFmt w:val="lowerLetter"/>
      <w:lvlText w:val="(%1)"/>
      <w:lvlJc w:val="left"/>
      <w:pPr>
        <w:ind w:left="720" w:hanging="360"/>
      </w:pPr>
      <w:rPr>
        <w:rFonts w:hint="default"/>
        <w:i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51AA3AA9"/>
    <w:multiLevelType w:val="hybridMultilevel"/>
    <w:tmpl w:val="9732C29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55C6193"/>
    <w:multiLevelType w:val="hybridMultilevel"/>
    <w:tmpl w:val="FE78C4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62EF2BB3"/>
    <w:multiLevelType w:val="hybridMultilevel"/>
    <w:tmpl w:val="DD024BAC"/>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 w15:restartNumberingAfterBreak="0">
    <w:nsid w:val="71CD242F"/>
    <w:multiLevelType w:val="hybridMultilevel"/>
    <w:tmpl w:val="B5F4CE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283079229">
    <w:abstractNumId w:val="5"/>
  </w:num>
  <w:num w:numId="2" w16cid:durableId="286201332">
    <w:abstractNumId w:val="4"/>
  </w:num>
  <w:num w:numId="3" w16cid:durableId="1835100253">
    <w:abstractNumId w:val="1"/>
  </w:num>
  <w:num w:numId="4" w16cid:durableId="769619372">
    <w:abstractNumId w:val="8"/>
  </w:num>
  <w:num w:numId="5" w16cid:durableId="511574286">
    <w:abstractNumId w:val="10"/>
  </w:num>
  <w:num w:numId="6" w16cid:durableId="29188667">
    <w:abstractNumId w:val="0"/>
  </w:num>
  <w:num w:numId="7" w16cid:durableId="2042127708">
    <w:abstractNumId w:val="6"/>
  </w:num>
  <w:num w:numId="8" w16cid:durableId="1142621070">
    <w:abstractNumId w:val="3"/>
  </w:num>
  <w:num w:numId="9" w16cid:durableId="681131680">
    <w:abstractNumId w:val="7"/>
  </w:num>
  <w:num w:numId="10" w16cid:durableId="1567103015">
    <w:abstractNumId w:val="9"/>
  </w:num>
  <w:num w:numId="11" w16cid:durableId="1605074042">
    <w:abstractNumId w:val="2"/>
  </w:num>
  <w:num w:numId="12" w16cid:durableId="14085312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50"/>
    <w:rsid w:val="00050DFF"/>
    <w:rsid w:val="000F3AF0"/>
    <w:rsid w:val="00106C0B"/>
    <w:rsid w:val="0021053B"/>
    <w:rsid w:val="002636D2"/>
    <w:rsid w:val="002A0323"/>
    <w:rsid w:val="002C1428"/>
    <w:rsid w:val="002C796A"/>
    <w:rsid w:val="003B5A88"/>
    <w:rsid w:val="003F391C"/>
    <w:rsid w:val="0040157D"/>
    <w:rsid w:val="004329F3"/>
    <w:rsid w:val="00434FE6"/>
    <w:rsid w:val="00481BA5"/>
    <w:rsid w:val="004E24C1"/>
    <w:rsid w:val="004F5830"/>
    <w:rsid w:val="00565BF8"/>
    <w:rsid w:val="00570662"/>
    <w:rsid w:val="00583DF4"/>
    <w:rsid w:val="00585B40"/>
    <w:rsid w:val="005A1E78"/>
    <w:rsid w:val="005C216A"/>
    <w:rsid w:val="005C5F17"/>
    <w:rsid w:val="00620F13"/>
    <w:rsid w:val="006F790C"/>
    <w:rsid w:val="0070526E"/>
    <w:rsid w:val="007A289C"/>
    <w:rsid w:val="007A7B78"/>
    <w:rsid w:val="007B7795"/>
    <w:rsid w:val="00814A2F"/>
    <w:rsid w:val="00836E8E"/>
    <w:rsid w:val="00836F6D"/>
    <w:rsid w:val="00892DB1"/>
    <w:rsid w:val="008B22BF"/>
    <w:rsid w:val="0091003B"/>
    <w:rsid w:val="00971D50"/>
    <w:rsid w:val="009A51A6"/>
    <w:rsid w:val="009A7034"/>
    <w:rsid w:val="009D49CA"/>
    <w:rsid w:val="00A26435"/>
    <w:rsid w:val="00A36B41"/>
    <w:rsid w:val="00A51E52"/>
    <w:rsid w:val="00A758F5"/>
    <w:rsid w:val="00A806FC"/>
    <w:rsid w:val="00A857D9"/>
    <w:rsid w:val="00A92632"/>
    <w:rsid w:val="00B519E4"/>
    <w:rsid w:val="00B5687A"/>
    <w:rsid w:val="00B90CDF"/>
    <w:rsid w:val="00B947A2"/>
    <w:rsid w:val="00C65FD5"/>
    <w:rsid w:val="00C97190"/>
    <w:rsid w:val="00C9760A"/>
    <w:rsid w:val="00D02013"/>
    <w:rsid w:val="00D23DD5"/>
    <w:rsid w:val="00D632E4"/>
    <w:rsid w:val="00D90A59"/>
    <w:rsid w:val="00D93D5A"/>
    <w:rsid w:val="00DA55BF"/>
    <w:rsid w:val="00DB3C7B"/>
    <w:rsid w:val="00DB491D"/>
    <w:rsid w:val="00DC5839"/>
    <w:rsid w:val="00E00FDA"/>
    <w:rsid w:val="00E90BC9"/>
    <w:rsid w:val="00E92282"/>
    <w:rsid w:val="00EA2DC8"/>
    <w:rsid w:val="00EB3417"/>
    <w:rsid w:val="00F006B0"/>
    <w:rsid w:val="00F23D32"/>
    <w:rsid w:val="00F36E59"/>
    <w:rsid w:val="00F607D2"/>
    <w:rsid w:val="00FA70C8"/>
    <w:rsid w:val="00FC0ADE"/>
    <w:rsid w:val="00FD1465"/>
    <w:rsid w:val="00FE0A9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60BF4"/>
  <w15:chartTrackingRefBased/>
  <w15:docId w15:val="{5C62896D-791F-4708-8278-E79D7FDB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0DF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E90B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50DFF"/>
    <w:pPr>
      <w:keepNext/>
      <w:spacing w:before="240" w:after="60" w:line="240" w:lineRule="auto"/>
      <w:outlineLvl w:val="2"/>
    </w:pPr>
    <w:rPr>
      <w:rFonts w:ascii="Calibri Light" w:eastAsia="Times New Roman" w:hAnsi="Calibri Light" w:cs="Times New Roman"/>
      <w:b/>
      <w:bCs/>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rsid w:val="00971D50"/>
  </w:style>
  <w:style w:type="paragraph" w:styleId="Footer">
    <w:name w:val="footer"/>
    <w:basedOn w:val="Normal"/>
    <w:link w:val="FooterChar"/>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050DFF"/>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semiHidden/>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val="en-US"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val="en-US" w:eastAsia="lt-LT"/>
    </w:rPr>
  </w:style>
  <w:style w:type="paragraph" w:styleId="ListParagraph">
    <w:name w:val="List Paragraph"/>
    <w:basedOn w:val="Normal"/>
    <w:uiPriority w:val="34"/>
    <w:qFormat/>
    <w:rsid w:val="00050DFF"/>
    <w:pPr>
      <w:spacing w:after="0" w:line="240" w:lineRule="auto"/>
      <w:ind w:left="720"/>
    </w:pPr>
    <w:rPr>
      <w:rFonts w:ascii="Times New Roman" w:eastAsia="Times New Roman" w:hAnsi="Times New Roman" w:cs="Times New Roman"/>
      <w:sz w:val="24"/>
      <w:szCs w:val="24"/>
      <w:lang w:val="en-US"/>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val="en-US"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uiPriority w:val="22"/>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E90BC9"/>
    <w:rPr>
      <w:rFonts w:asciiTheme="majorHAnsi" w:eastAsiaTheme="majorEastAsia" w:hAnsiTheme="majorHAnsi" w:cstheme="majorBidi"/>
      <w:color w:val="2E74B5" w:themeColor="accent1" w:themeShade="BF"/>
      <w:sz w:val="26"/>
      <w:szCs w:val="26"/>
    </w:rPr>
  </w:style>
  <w:style w:type="character" w:customStyle="1" w:styleId="contentline-39">
    <w:name w:val="contentline-39"/>
    <w:basedOn w:val="DefaultParagraphFont"/>
    <w:rsid w:val="00E9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141205">
      <w:bodyDiv w:val="1"/>
      <w:marLeft w:val="0"/>
      <w:marRight w:val="0"/>
      <w:marTop w:val="0"/>
      <w:marBottom w:val="0"/>
      <w:divBdr>
        <w:top w:val="none" w:sz="0" w:space="0" w:color="auto"/>
        <w:left w:val="none" w:sz="0" w:space="0" w:color="auto"/>
        <w:bottom w:val="none" w:sz="0" w:space="0" w:color="auto"/>
        <w:right w:val="none" w:sz="0" w:space="0" w:color="auto"/>
      </w:divBdr>
    </w:div>
    <w:div w:id="18843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infad-pc</dc:creator>
  <cp:keywords/>
  <dc:description/>
  <cp:lastModifiedBy>SITI NABILAH SYUHADA BINTI ABDULLAH</cp:lastModifiedBy>
  <cp:revision>5</cp:revision>
  <dcterms:created xsi:type="dcterms:W3CDTF">2025-12-02T06:14:00Z</dcterms:created>
  <dcterms:modified xsi:type="dcterms:W3CDTF">2025-12-02T06:55:00Z</dcterms:modified>
</cp:coreProperties>
</file>